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C6A2B" w14:textId="77777777" w:rsidR="00F375BD" w:rsidRDefault="00F375BD" w:rsidP="00F375BD">
      <w:pPr>
        <w:pStyle w:val="Title"/>
        <w:rPr>
          <w:rFonts w:ascii="Arial" w:hAnsi="Arial" w:cs="Arial"/>
          <w:b/>
          <w:bCs/>
          <w:kern w:val="0"/>
          <w:sz w:val="32"/>
          <w:szCs w:val="32"/>
          <w14:ligatures w14:val="none"/>
        </w:rPr>
      </w:pPr>
      <w:r>
        <w:rPr>
          <w:rFonts w:ascii="Arial" w:hAnsi="Arial" w:cs="Arial"/>
          <w:b/>
          <w:bCs/>
          <w:sz w:val="32"/>
          <w:szCs w:val="32"/>
        </w:rPr>
        <w:t>Post Viral and Long Covid Management and Referral Guidance</w:t>
      </w:r>
    </w:p>
    <w:p w14:paraId="3D382E13" w14:textId="77777777" w:rsidR="00F375BD" w:rsidRDefault="00F375BD" w:rsidP="00024843">
      <w:pPr>
        <w:tabs>
          <w:tab w:val="left" w:pos="1573"/>
          <w:tab w:val="left" w:pos="2268"/>
        </w:tabs>
        <w:jc w:val="center"/>
        <w:rPr>
          <w:b/>
          <w:noProof/>
          <w:szCs w:val="24"/>
        </w:rPr>
      </w:pPr>
    </w:p>
    <w:p w14:paraId="1D7266FC" w14:textId="67573263" w:rsidR="00F375BD" w:rsidRDefault="00F375BD" w:rsidP="00024843">
      <w:pPr>
        <w:tabs>
          <w:tab w:val="left" w:pos="1573"/>
          <w:tab w:val="left" w:pos="2268"/>
        </w:tabs>
        <w:jc w:val="center"/>
        <w:rPr>
          <w:b/>
          <w:noProof/>
          <w:szCs w:val="24"/>
        </w:rPr>
      </w:pPr>
      <w:r>
        <w:rPr>
          <w:b/>
          <w:noProof/>
          <w:szCs w:val="24"/>
        </w:rPr>
        <w:t>Long Covid MDT</w:t>
      </w:r>
    </w:p>
    <w:p w14:paraId="0AEFAAC0" w14:textId="77777777" w:rsidR="00F375BD" w:rsidRPr="00CD49B9" w:rsidRDefault="00F375BD" w:rsidP="00F375BD">
      <w:pPr>
        <w:pStyle w:val="Default"/>
        <w:rPr>
          <w:sz w:val="32"/>
          <w:szCs w:val="32"/>
        </w:rPr>
      </w:pPr>
    </w:p>
    <w:p w14:paraId="0034F5F1" w14:textId="77777777" w:rsidR="00F375BD" w:rsidRDefault="00F375BD" w:rsidP="00F375BD">
      <w:pPr>
        <w:pStyle w:val="Heading2"/>
        <w:rPr>
          <w:rFonts w:eastAsia="Times New Roman"/>
          <w:bCs/>
          <w:sz w:val="28"/>
          <w:szCs w:val="28"/>
        </w:rPr>
      </w:pPr>
      <w:r>
        <w:rPr>
          <w:rFonts w:eastAsia="Times New Roman"/>
          <w:bCs/>
          <w:sz w:val="28"/>
          <w:szCs w:val="28"/>
        </w:rPr>
        <w:t>Contents</w:t>
      </w:r>
    </w:p>
    <w:p w14:paraId="64A26254" w14:textId="77777777" w:rsidR="00F375BD" w:rsidRPr="00F375BD" w:rsidRDefault="00F375BD" w:rsidP="00F375BD"/>
    <w:p w14:paraId="0ACBCDE9" w14:textId="77777777" w:rsidR="00F375BD" w:rsidRDefault="00F375BD" w:rsidP="00F375BD">
      <w:pPr>
        <w:numPr>
          <w:ilvl w:val="0"/>
          <w:numId w:val="24"/>
        </w:numPr>
        <w:spacing w:after="200" w:line="276" w:lineRule="auto"/>
        <w:contextualSpacing w:val="0"/>
        <w:rPr>
          <w:rFonts w:ascii="Calibri" w:eastAsia="Times New Roman" w:hAnsi="Calibri" w:cs="Calibri"/>
          <w:color w:val="005EB8"/>
        </w:rPr>
      </w:pPr>
      <w:r>
        <w:rPr>
          <w:rFonts w:eastAsia="Times New Roman"/>
          <w:color w:val="005EB8"/>
        </w:rPr>
        <w:t>Background</w:t>
      </w:r>
    </w:p>
    <w:p w14:paraId="47A70F54" w14:textId="77777777" w:rsidR="00F375BD" w:rsidRDefault="00F375BD" w:rsidP="00F375BD">
      <w:pPr>
        <w:numPr>
          <w:ilvl w:val="0"/>
          <w:numId w:val="24"/>
        </w:numPr>
        <w:spacing w:after="200" w:line="276" w:lineRule="auto"/>
        <w:contextualSpacing w:val="0"/>
        <w:rPr>
          <w:rFonts w:eastAsia="Times New Roman"/>
          <w:color w:val="005EB8"/>
        </w:rPr>
      </w:pPr>
      <w:r>
        <w:rPr>
          <w:rFonts w:eastAsia="Times New Roman"/>
          <w:color w:val="005EB8"/>
        </w:rPr>
        <w:t>Definitions</w:t>
      </w:r>
    </w:p>
    <w:p w14:paraId="04C51DBF" w14:textId="77777777" w:rsidR="00F375BD" w:rsidRDefault="00F375BD" w:rsidP="00F375BD">
      <w:pPr>
        <w:numPr>
          <w:ilvl w:val="0"/>
          <w:numId w:val="24"/>
        </w:numPr>
        <w:spacing w:after="200" w:line="276" w:lineRule="auto"/>
        <w:contextualSpacing w:val="0"/>
        <w:rPr>
          <w:rFonts w:eastAsia="Times New Roman"/>
          <w:color w:val="005EB8"/>
        </w:rPr>
      </w:pPr>
      <w:r>
        <w:rPr>
          <w:rFonts w:eastAsia="Times New Roman"/>
          <w:color w:val="005EB8"/>
        </w:rPr>
        <w:t>Referral to Post Viral and Long Covid Service</w:t>
      </w:r>
    </w:p>
    <w:p w14:paraId="1912DC04" w14:textId="77777777" w:rsidR="00F375BD" w:rsidRDefault="00F375BD" w:rsidP="00F375BD">
      <w:pPr>
        <w:numPr>
          <w:ilvl w:val="0"/>
          <w:numId w:val="24"/>
        </w:numPr>
        <w:spacing w:after="200" w:line="276" w:lineRule="auto"/>
        <w:contextualSpacing w:val="0"/>
        <w:rPr>
          <w:rFonts w:eastAsia="Times New Roman"/>
          <w:color w:val="005EB8"/>
        </w:rPr>
      </w:pPr>
      <w:r>
        <w:rPr>
          <w:rFonts w:eastAsia="Times New Roman"/>
          <w:color w:val="005EB8"/>
        </w:rPr>
        <w:t>Required Pre-Referral Investigations and Information</w:t>
      </w:r>
    </w:p>
    <w:p w14:paraId="038F3EB4" w14:textId="77777777" w:rsidR="00F375BD" w:rsidRDefault="00F375BD" w:rsidP="00F375BD">
      <w:pPr>
        <w:numPr>
          <w:ilvl w:val="0"/>
          <w:numId w:val="24"/>
        </w:numPr>
        <w:spacing w:after="200" w:line="276" w:lineRule="auto"/>
        <w:contextualSpacing w:val="0"/>
        <w:rPr>
          <w:rFonts w:eastAsia="Times New Roman"/>
          <w:color w:val="005EB8"/>
        </w:rPr>
      </w:pPr>
      <w:r>
        <w:rPr>
          <w:rFonts w:eastAsia="Times New Roman"/>
          <w:color w:val="005EB8"/>
        </w:rPr>
        <w:t>Covid 19 Yorkshire Rehab Screening tool (C19-YRS)</w:t>
      </w:r>
    </w:p>
    <w:p w14:paraId="29652A2D" w14:textId="77777777" w:rsidR="00F375BD" w:rsidRDefault="00F375BD" w:rsidP="00F375BD">
      <w:pPr>
        <w:pStyle w:val="Heading2"/>
        <w:rPr>
          <w:rFonts w:eastAsia="Times New Roman"/>
          <w:color w:val="365F91"/>
          <w:sz w:val="28"/>
          <w:szCs w:val="28"/>
        </w:rPr>
      </w:pPr>
      <w:r>
        <w:rPr>
          <w:rFonts w:eastAsia="Times New Roman"/>
          <w:sz w:val="28"/>
          <w:szCs w:val="28"/>
        </w:rPr>
        <w:t>Background</w:t>
      </w:r>
    </w:p>
    <w:p w14:paraId="290FCF53" w14:textId="77777777" w:rsidR="00F375BD" w:rsidRDefault="00F375BD" w:rsidP="00F375BD">
      <w:pPr>
        <w:rPr>
          <w:sz w:val="23"/>
          <w:szCs w:val="23"/>
        </w:rPr>
      </w:pPr>
      <w:r>
        <w:rPr>
          <w:sz w:val="23"/>
          <w:szCs w:val="23"/>
        </w:rPr>
        <w:t>There continues to be a significant number of individuals attending primary care with persistent symptoms following viral illnesses, including Covid-19. In response to this ongoing clinical need, NHS England (NHSE) issued recommendations in 2021 for the development of dedicated assessment clinics focused on Long Covid. The purpose of these clinics was to deliver multidisciplinary team (MDT) assessments for patients who were experiencing ongoing symptoms lasting longer than twelve weeks, which were consistent with the emerging diagnosis of post-Covid syndrome. It is now acknowledged that people may experience prolonged post-viral symptoms even after apparent recovery from their initial infection, reflecting the complex and evolving nature of these conditions. Most patients with viral illnesses now do not test for Covid-19 or other viruses, making the situation complex.</w:t>
      </w:r>
    </w:p>
    <w:p w14:paraId="2E8279F8" w14:textId="77777777" w:rsidR="00F375BD" w:rsidRDefault="00F375BD" w:rsidP="00F375BD">
      <w:pPr>
        <w:rPr>
          <w:rFonts w:eastAsiaTheme="minorEastAsia"/>
          <w:sz w:val="23"/>
          <w:szCs w:val="23"/>
        </w:rPr>
      </w:pPr>
    </w:p>
    <w:p w14:paraId="5E9167DC" w14:textId="77777777" w:rsidR="00F375BD" w:rsidRDefault="00F375BD" w:rsidP="00F375BD">
      <w:pPr>
        <w:pStyle w:val="Heading2"/>
        <w:rPr>
          <w:rFonts w:eastAsia="Times New Roman"/>
          <w:sz w:val="28"/>
          <w:szCs w:val="28"/>
        </w:rPr>
      </w:pPr>
      <w:r>
        <w:rPr>
          <w:rFonts w:eastAsia="Times New Roman"/>
          <w:sz w:val="28"/>
          <w:szCs w:val="28"/>
        </w:rPr>
        <w:t>York and Scarborough Post Viral and Long Covid Service</w:t>
      </w:r>
    </w:p>
    <w:p w14:paraId="1D67D4B5" w14:textId="77777777" w:rsidR="00F375BD" w:rsidRPr="00F375BD" w:rsidRDefault="00F375BD" w:rsidP="00F375BD"/>
    <w:p w14:paraId="0B4A526B" w14:textId="77777777" w:rsidR="00F375BD" w:rsidRDefault="00F375BD" w:rsidP="00F375BD">
      <w:pPr>
        <w:pStyle w:val="Heading3"/>
        <w:rPr>
          <w:rFonts w:eastAsia="Times New Roman"/>
          <w:sz w:val="24"/>
          <w:szCs w:val="24"/>
        </w:rPr>
      </w:pPr>
      <w:r>
        <w:rPr>
          <w:rFonts w:eastAsia="Times New Roman"/>
          <w:sz w:val="24"/>
          <w:szCs w:val="24"/>
        </w:rPr>
        <w:t>Overview</w:t>
      </w:r>
    </w:p>
    <w:p w14:paraId="3D489123" w14:textId="77777777" w:rsidR="00F375BD" w:rsidRDefault="00F375BD" w:rsidP="00F375BD">
      <w:pPr>
        <w:rPr>
          <w:rFonts w:eastAsiaTheme="minorEastAsia"/>
          <w:sz w:val="23"/>
          <w:szCs w:val="23"/>
        </w:rPr>
      </w:pPr>
      <w:r>
        <w:rPr>
          <w:sz w:val="23"/>
          <w:szCs w:val="23"/>
        </w:rPr>
        <w:t xml:space="preserve">The York and Scarborough Post Viral and Long Covid Service has been designed to equip patients with the necessary skills for self-management of their symptoms. The service aims to deliver </w:t>
      </w:r>
      <w:proofErr w:type="gramStart"/>
      <w:r>
        <w:rPr>
          <w:sz w:val="23"/>
          <w:szCs w:val="23"/>
        </w:rPr>
        <w:t>prompt,</w:t>
      </w:r>
      <w:proofErr w:type="gramEnd"/>
      <w:r>
        <w:rPr>
          <w:sz w:val="23"/>
          <w:szCs w:val="23"/>
        </w:rPr>
        <w:t xml:space="preserve"> short-term interventions tailored to individual needs.</w:t>
      </w:r>
    </w:p>
    <w:p w14:paraId="23F4C362" w14:textId="77777777" w:rsidR="00F375BD" w:rsidRPr="0009050D" w:rsidRDefault="00F375BD" w:rsidP="00F375BD">
      <w:pPr>
        <w:pStyle w:val="Heading3"/>
        <w:rPr>
          <w:rFonts w:eastAsia="Times New Roman"/>
          <w:color w:val="auto"/>
          <w:sz w:val="24"/>
          <w:szCs w:val="24"/>
        </w:rPr>
      </w:pPr>
      <w:r>
        <w:rPr>
          <w:rFonts w:eastAsia="Times New Roman"/>
          <w:sz w:val="24"/>
          <w:szCs w:val="24"/>
        </w:rPr>
        <w:t>Assessment and Initial Support</w:t>
      </w:r>
    </w:p>
    <w:p w14:paraId="7FF84E01" w14:textId="77777777" w:rsidR="00F375BD" w:rsidRDefault="00F375BD" w:rsidP="00F375BD">
      <w:pPr>
        <w:rPr>
          <w:rFonts w:eastAsiaTheme="minorEastAsia"/>
          <w:sz w:val="23"/>
          <w:szCs w:val="23"/>
        </w:rPr>
      </w:pPr>
      <w:r w:rsidRPr="0009050D">
        <w:rPr>
          <w:sz w:val="23"/>
          <w:szCs w:val="23"/>
        </w:rPr>
        <w:t xml:space="preserve">Every patient is offered a face-to-face initial assessment with either a Consultant Doctor </w:t>
      </w:r>
      <w:r>
        <w:rPr>
          <w:sz w:val="23"/>
          <w:szCs w:val="23"/>
        </w:rPr>
        <w:t>or a Specialist Nurse. This assessment provides an opportunity to discuss symptoms in detail. Following this, patients receive access to the Living with Covid Recovery App, which offers a comprehensive range of self-management resources and assessment tools.</w:t>
      </w:r>
    </w:p>
    <w:p w14:paraId="73D58089" w14:textId="77777777" w:rsidR="00F375BD" w:rsidRDefault="00F375BD" w:rsidP="00F375BD">
      <w:pPr>
        <w:pStyle w:val="Heading3"/>
        <w:rPr>
          <w:rFonts w:eastAsia="Times New Roman"/>
          <w:sz w:val="24"/>
          <w:szCs w:val="24"/>
        </w:rPr>
      </w:pPr>
      <w:r>
        <w:rPr>
          <w:rFonts w:eastAsia="Times New Roman"/>
          <w:sz w:val="24"/>
          <w:szCs w:val="24"/>
        </w:rPr>
        <w:t>Education and Self-Management Programme</w:t>
      </w:r>
    </w:p>
    <w:p w14:paraId="60B0F17E" w14:textId="77777777" w:rsidR="00F375BD" w:rsidRDefault="00F375BD" w:rsidP="00F375BD">
      <w:pPr>
        <w:rPr>
          <w:sz w:val="23"/>
          <w:szCs w:val="23"/>
        </w:rPr>
      </w:pPr>
      <w:r>
        <w:rPr>
          <w:sz w:val="23"/>
          <w:szCs w:val="23"/>
        </w:rPr>
        <w:t xml:space="preserve">Patients are invited to participate in an online group education and self-management programme, facilitated by in-house therapists. There are sessions on </w:t>
      </w:r>
      <w:r w:rsidRPr="0009050D">
        <w:rPr>
          <w:sz w:val="23"/>
          <w:szCs w:val="23"/>
        </w:rPr>
        <w:t>Managing Fatigue, Managing Brain Fog, Managing Breathlessness, Emotional Wellbeing and Returning to Activity. The programme also includes opportunities for peer support, fostering a sense of community among participants. Upon completion of the course, each patient’s progress is reviewed by a Specialist nurse.</w:t>
      </w:r>
    </w:p>
    <w:p w14:paraId="072F1F07" w14:textId="77777777" w:rsidR="00F375BD" w:rsidRDefault="00F375BD" w:rsidP="00F375BD">
      <w:pPr>
        <w:rPr>
          <w:sz w:val="23"/>
          <w:szCs w:val="23"/>
        </w:rPr>
      </w:pPr>
    </w:p>
    <w:p w14:paraId="06FBD92D" w14:textId="77777777" w:rsidR="00F375BD" w:rsidRPr="0009050D" w:rsidRDefault="00F375BD" w:rsidP="00F375BD">
      <w:pPr>
        <w:rPr>
          <w:rFonts w:eastAsiaTheme="minorEastAsia"/>
          <w:sz w:val="23"/>
          <w:szCs w:val="23"/>
        </w:rPr>
      </w:pPr>
    </w:p>
    <w:p w14:paraId="7F2D53FF" w14:textId="77777777" w:rsidR="00F375BD" w:rsidRDefault="00F375BD" w:rsidP="00F375BD">
      <w:pPr>
        <w:pStyle w:val="Heading3"/>
        <w:rPr>
          <w:rFonts w:eastAsia="Times New Roman"/>
          <w:sz w:val="24"/>
          <w:szCs w:val="24"/>
        </w:rPr>
      </w:pPr>
      <w:r>
        <w:rPr>
          <w:rFonts w:eastAsia="Times New Roman"/>
          <w:sz w:val="24"/>
          <w:szCs w:val="24"/>
        </w:rPr>
        <w:t>Further Specialist Support</w:t>
      </w:r>
    </w:p>
    <w:p w14:paraId="08FC6D0E" w14:textId="77777777" w:rsidR="00F375BD" w:rsidRDefault="00F375BD" w:rsidP="00F375BD">
      <w:pPr>
        <w:rPr>
          <w:rFonts w:eastAsiaTheme="minorEastAsia"/>
          <w:sz w:val="23"/>
          <w:szCs w:val="23"/>
        </w:rPr>
      </w:pPr>
      <w:r>
        <w:rPr>
          <w:sz w:val="23"/>
          <w:szCs w:val="23"/>
        </w:rPr>
        <w:lastRenderedPageBreak/>
        <w:t xml:space="preserve">Depending on individual needs identified during the review, patients may be referred to specialist Occupational Therapy, Physiotherapy, Psychology, or </w:t>
      </w:r>
      <w:r w:rsidRPr="0009050D">
        <w:rPr>
          <w:sz w:val="23"/>
          <w:szCs w:val="23"/>
        </w:rPr>
        <w:t xml:space="preserve">NHS </w:t>
      </w:r>
      <w:r>
        <w:rPr>
          <w:sz w:val="23"/>
          <w:szCs w:val="23"/>
        </w:rPr>
        <w:t>Talking Therapies. The clinician-led nature of the service allows for investigations to be ordered and medical treatments to be initiated where appropriate.</w:t>
      </w:r>
    </w:p>
    <w:p w14:paraId="56F058AC" w14:textId="77777777" w:rsidR="00F375BD" w:rsidRDefault="00F375BD" w:rsidP="00F375BD">
      <w:pPr>
        <w:pStyle w:val="Heading3"/>
        <w:rPr>
          <w:rFonts w:eastAsia="Times New Roman"/>
          <w:sz w:val="24"/>
          <w:szCs w:val="24"/>
        </w:rPr>
      </w:pPr>
      <w:r>
        <w:rPr>
          <w:rFonts w:eastAsia="Times New Roman"/>
          <w:sz w:val="24"/>
          <w:szCs w:val="24"/>
        </w:rPr>
        <w:t>Accessibility and Additional Support</w:t>
      </w:r>
    </w:p>
    <w:p w14:paraId="5D86AD3A" w14:textId="77777777" w:rsidR="00F375BD" w:rsidRDefault="00F375BD" w:rsidP="00F375BD">
      <w:pPr>
        <w:rPr>
          <w:sz w:val="23"/>
          <w:szCs w:val="23"/>
        </w:rPr>
      </w:pPr>
      <w:r>
        <w:rPr>
          <w:sz w:val="23"/>
          <w:szCs w:val="23"/>
        </w:rPr>
        <w:t>For patients who cannot access the digital resources, written information and personalised therapy interventions are provided to ensure care remains accessible to all.</w:t>
      </w:r>
    </w:p>
    <w:p w14:paraId="3DAABD03" w14:textId="77777777" w:rsidR="00F375BD" w:rsidRDefault="00F375BD" w:rsidP="00F375BD">
      <w:pPr>
        <w:rPr>
          <w:rFonts w:eastAsiaTheme="minorEastAsia"/>
          <w:sz w:val="23"/>
          <w:szCs w:val="23"/>
        </w:rPr>
      </w:pPr>
    </w:p>
    <w:p w14:paraId="12B075BF" w14:textId="77777777" w:rsidR="00F375BD" w:rsidRDefault="00F375BD" w:rsidP="00F375BD">
      <w:pPr>
        <w:pStyle w:val="Heading2"/>
        <w:rPr>
          <w:rFonts w:eastAsia="Times New Roman"/>
          <w:sz w:val="28"/>
          <w:szCs w:val="28"/>
        </w:rPr>
      </w:pPr>
      <w:r>
        <w:rPr>
          <w:rFonts w:eastAsia="Times New Roman"/>
          <w:sz w:val="28"/>
          <w:szCs w:val="28"/>
        </w:rPr>
        <w:t>Definitions</w:t>
      </w:r>
    </w:p>
    <w:p w14:paraId="176949BC" w14:textId="77777777" w:rsidR="00F375BD" w:rsidRPr="00F375BD" w:rsidRDefault="00F375BD" w:rsidP="00F375BD"/>
    <w:p w14:paraId="16A1D48A" w14:textId="77777777" w:rsidR="00F375BD" w:rsidRPr="00F375BD" w:rsidRDefault="00F375BD" w:rsidP="00F375BD">
      <w:pPr>
        <w:pStyle w:val="Heading3"/>
        <w:rPr>
          <w:rFonts w:eastAsia="Times New Roman"/>
          <w:b w:val="0"/>
          <w:bCs/>
          <w:i/>
          <w:iCs/>
          <w:sz w:val="24"/>
          <w:szCs w:val="24"/>
        </w:rPr>
      </w:pPr>
      <w:r w:rsidRPr="00F375BD">
        <w:rPr>
          <w:rFonts w:eastAsia="Times New Roman"/>
          <w:bCs/>
          <w:i/>
          <w:iCs/>
          <w:sz w:val="24"/>
          <w:szCs w:val="24"/>
        </w:rPr>
        <w:t>Post-COVID-19 syndrome</w:t>
      </w:r>
    </w:p>
    <w:p w14:paraId="596375CB" w14:textId="77777777" w:rsidR="00F375BD" w:rsidRDefault="00F375BD" w:rsidP="00F375BD">
      <w:pPr>
        <w:rPr>
          <w:rFonts w:eastAsiaTheme="minorEastAsia"/>
          <w:sz w:val="23"/>
          <w:szCs w:val="23"/>
        </w:rPr>
      </w:pPr>
      <w:r>
        <w:rPr>
          <w:sz w:val="23"/>
          <w:szCs w:val="23"/>
        </w:rPr>
        <w:t>Signs and symptoms that develop during or after an infection consistent with COVID-19, continue for more than 12 weeks, and are not explained by an alternative diagnosis. It usually presents with clusters of symptoms, often overlapping, which can fluctuate and change over time and can affect any system in the body. Post-COVID-19 syndrome may be considered before 12 weeks while the possibility of an alternative underlying disease is also being assessed.</w:t>
      </w:r>
    </w:p>
    <w:p w14:paraId="57AAC769" w14:textId="77777777" w:rsidR="00F375BD" w:rsidRPr="00F375BD" w:rsidRDefault="00F375BD" w:rsidP="00F375BD">
      <w:pPr>
        <w:pStyle w:val="Heading3"/>
        <w:rPr>
          <w:rFonts w:eastAsia="Times New Roman"/>
          <w:b w:val="0"/>
          <w:bCs/>
          <w:i/>
          <w:iCs/>
          <w:sz w:val="24"/>
          <w:szCs w:val="24"/>
        </w:rPr>
      </w:pPr>
      <w:r w:rsidRPr="00F375BD">
        <w:rPr>
          <w:rFonts w:eastAsia="Times New Roman"/>
          <w:bCs/>
          <w:i/>
          <w:iCs/>
          <w:sz w:val="24"/>
          <w:szCs w:val="24"/>
        </w:rPr>
        <w:t>Long COVID</w:t>
      </w:r>
    </w:p>
    <w:p w14:paraId="4DB0D8BE" w14:textId="77777777" w:rsidR="00F375BD" w:rsidRDefault="00F375BD" w:rsidP="00F375BD">
      <w:pPr>
        <w:rPr>
          <w:rFonts w:eastAsiaTheme="minorEastAsia"/>
          <w:sz w:val="23"/>
          <w:szCs w:val="23"/>
        </w:rPr>
      </w:pPr>
      <w:r>
        <w:rPr>
          <w:sz w:val="23"/>
          <w:szCs w:val="23"/>
        </w:rPr>
        <w:t>In addition to the clinical case definitions, the term 'long COVID' is commonly used to describe signs and symptoms that continue or develop after acute COVID-19. It includes both ongoing symptomatic COVID-19 (from 4 to 12 weeks) and post-COVID-19 syndrome (12 weeks or more).</w:t>
      </w:r>
    </w:p>
    <w:p w14:paraId="1477C373" w14:textId="77777777" w:rsidR="00F375BD" w:rsidRPr="00F375BD" w:rsidRDefault="00F375BD" w:rsidP="00F375BD">
      <w:pPr>
        <w:pStyle w:val="Heading2"/>
        <w:rPr>
          <w:rFonts w:eastAsia="Times New Roman"/>
          <w:b w:val="0"/>
          <w:bCs/>
          <w:sz w:val="24"/>
          <w:szCs w:val="24"/>
        </w:rPr>
      </w:pPr>
      <w:r w:rsidRPr="00F375BD">
        <w:rPr>
          <w:rFonts w:eastAsia="Times New Roman"/>
          <w:bCs/>
          <w:sz w:val="24"/>
          <w:szCs w:val="24"/>
        </w:rPr>
        <w:t>Referral for Post Viral / Long COVID assessment</w:t>
      </w:r>
    </w:p>
    <w:p w14:paraId="5191BEC2" w14:textId="77777777" w:rsidR="00F375BD" w:rsidRDefault="00F375BD" w:rsidP="00F375BD">
      <w:pPr>
        <w:rPr>
          <w:rFonts w:eastAsiaTheme="minorEastAsia"/>
          <w:sz w:val="23"/>
          <w:szCs w:val="23"/>
        </w:rPr>
      </w:pPr>
      <w:r>
        <w:rPr>
          <w:sz w:val="23"/>
          <w:szCs w:val="23"/>
        </w:rPr>
        <w:t>A minority of patients presenting to primary care may require referral for a full MDT assessment (estimated as 1% of those infected with Covid-19).</w:t>
      </w:r>
    </w:p>
    <w:p w14:paraId="5F500A37" w14:textId="77777777" w:rsidR="00F375BD" w:rsidRPr="0009050D" w:rsidRDefault="00F375BD" w:rsidP="00F375BD">
      <w:pPr>
        <w:rPr>
          <w:sz w:val="23"/>
          <w:szCs w:val="23"/>
        </w:rPr>
      </w:pPr>
      <w:r>
        <w:rPr>
          <w:sz w:val="23"/>
          <w:szCs w:val="23"/>
        </w:rPr>
        <w:t xml:space="preserve">Long COVID clinic </w:t>
      </w:r>
      <w:r w:rsidRPr="0009050D">
        <w:rPr>
          <w:sz w:val="23"/>
          <w:szCs w:val="23"/>
        </w:rPr>
        <w:t>appointments may be held in York at the hospital and at Haxby and Wiggington Surgery, Selby War Memorial Hospital and Scarborough Hospital. Online and Telephone appointments are also offered.</w:t>
      </w:r>
    </w:p>
    <w:p w14:paraId="1CA4D5D8" w14:textId="77777777" w:rsidR="00F375BD" w:rsidRPr="0009050D" w:rsidRDefault="00F375BD" w:rsidP="00F375BD">
      <w:pPr>
        <w:rPr>
          <w:sz w:val="23"/>
          <w:szCs w:val="23"/>
        </w:rPr>
      </w:pPr>
      <w:r w:rsidRPr="0009050D">
        <w:rPr>
          <w:sz w:val="23"/>
          <w:szCs w:val="23"/>
        </w:rPr>
        <w:t>The team consists of a Respiratory Consultant, Specialist nurses, Physiotherapist, Occupational Therapists and a Clinical Psychologist. There is also the ability to arrange diagnostic support and consult with wider Consultant expertise (e.g. cardiology, neurology, ENT) where indicated.</w:t>
      </w:r>
    </w:p>
    <w:p w14:paraId="7AAC8E97" w14:textId="77777777" w:rsidR="00F375BD" w:rsidRPr="00F375BD" w:rsidRDefault="00F375BD" w:rsidP="00F375BD">
      <w:pPr>
        <w:pStyle w:val="Heading3"/>
        <w:rPr>
          <w:rFonts w:eastAsia="Times New Roman"/>
          <w:b w:val="0"/>
          <w:bCs/>
          <w:sz w:val="24"/>
          <w:szCs w:val="24"/>
        </w:rPr>
      </w:pPr>
      <w:r w:rsidRPr="00F375BD">
        <w:rPr>
          <w:rFonts w:eastAsia="Times New Roman"/>
          <w:bCs/>
          <w:sz w:val="24"/>
          <w:szCs w:val="24"/>
        </w:rPr>
        <w:t>Inclusion Criteria</w:t>
      </w:r>
    </w:p>
    <w:p w14:paraId="48E72FDD" w14:textId="77777777" w:rsidR="00F375BD" w:rsidRDefault="00F375BD" w:rsidP="00F375BD">
      <w:pPr>
        <w:rPr>
          <w:rFonts w:eastAsia="Times New Roman"/>
        </w:rPr>
      </w:pPr>
      <w:r>
        <w:rPr>
          <w:rFonts w:eastAsia="Times New Roman"/>
          <w:color w:val="000000"/>
        </w:rPr>
        <w:t>Previous history and clinical signs consistent with Covid-19/viral infection and persistent post Covid-19/post viral symptoms lasting greater than 12 weeks from the time of suggested infection, and one or more of the following:</w:t>
      </w:r>
    </w:p>
    <w:p w14:paraId="6824189C" w14:textId="77777777" w:rsidR="00F375BD" w:rsidRPr="00C309D3" w:rsidRDefault="00F375BD" w:rsidP="00F375BD">
      <w:pPr>
        <w:numPr>
          <w:ilvl w:val="0"/>
          <w:numId w:val="32"/>
        </w:numPr>
        <w:spacing w:after="200" w:line="276" w:lineRule="auto"/>
        <w:contextualSpacing w:val="0"/>
        <w:rPr>
          <w:rFonts w:eastAsia="Times New Roman"/>
        </w:rPr>
      </w:pPr>
      <w:r>
        <w:rPr>
          <w:rFonts w:eastAsia="Times New Roman"/>
          <w:color w:val="000000"/>
        </w:rPr>
        <w:t>New onset AND unexplained fatigue with Post Exertional Malaise (PEM) since presumed infection.</w:t>
      </w:r>
    </w:p>
    <w:p w14:paraId="4BD10505" w14:textId="77777777" w:rsidR="00F375BD" w:rsidRDefault="00F375BD" w:rsidP="00F375BD">
      <w:pPr>
        <w:numPr>
          <w:ilvl w:val="0"/>
          <w:numId w:val="32"/>
        </w:numPr>
        <w:spacing w:after="200" w:line="276" w:lineRule="auto"/>
        <w:contextualSpacing w:val="0"/>
        <w:rPr>
          <w:rFonts w:eastAsia="Times New Roman"/>
        </w:rPr>
      </w:pPr>
      <w:r>
        <w:rPr>
          <w:rFonts w:eastAsia="Times New Roman"/>
          <w:color w:val="000000"/>
        </w:rPr>
        <w:t xml:space="preserve">New onset AND unexplained breathlessness </w:t>
      </w:r>
      <w:bookmarkStart w:id="0" w:name="_Hlk222919124"/>
      <w:r>
        <w:rPr>
          <w:rFonts w:eastAsia="Times New Roman"/>
          <w:color w:val="000000"/>
        </w:rPr>
        <w:t>or cough since presumed infection</w:t>
      </w:r>
      <w:bookmarkEnd w:id="0"/>
      <w:r>
        <w:rPr>
          <w:rFonts w:eastAsia="Times New Roman"/>
          <w:color w:val="000000"/>
        </w:rPr>
        <w:t>.</w:t>
      </w:r>
    </w:p>
    <w:p w14:paraId="2CBA5D52" w14:textId="77777777" w:rsidR="00F375BD" w:rsidRPr="00C309D3" w:rsidRDefault="00F375BD" w:rsidP="00F375BD">
      <w:pPr>
        <w:numPr>
          <w:ilvl w:val="0"/>
          <w:numId w:val="32"/>
        </w:numPr>
        <w:spacing w:after="200" w:line="276" w:lineRule="auto"/>
        <w:contextualSpacing w:val="0"/>
        <w:rPr>
          <w:rFonts w:ascii="Times New Roman" w:eastAsia="Times New Roman" w:hAnsi="Times New Roman" w:cs="Times New Roman"/>
          <w:szCs w:val="24"/>
        </w:rPr>
      </w:pPr>
      <w:r>
        <w:rPr>
          <w:rFonts w:eastAsia="Times New Roman"/>
          <w:color w:val="000000"/>
        </w:rPr>
        <w:t xml:space="preserve">New onset AND unexplained symptoms of Brain Fog/Cognitive difficulties related to fatigue </w:t>
      </w:r>
    </w:p>
    <w:p w14:paraId="049AD7BA" w14:textId="77777777" w:rsidR="00F375BD" w:rsidRDefault="00F375BD" w:rsidP="00F375BD">
      <w:pPr>
        <w:numPr>
          <w:ilvl w:val="0"/>
          <w:numId w:val="32"/>
        </w:numPr>
        <w:spacing w:after="200" w:line="276" w:lineRule="auto"/>
        <w:contextualSpacing w:val="0"/>
        <w:rPr>
          <w:rFonts w:eastAsia="Times New Roman"/>
        </w:rPr>
      </w:pPr>
      <w:r>
        <w:rPr>
          <w:rFonts w:eastAsia="Times New Roman"/>
        </w:rPr>
        <w:t>New symptoms that may suggest Autonomic dysregulation such as, dizziness, palpitations, orthostatic symptoms, temperature regulation problems, sensory disturbance or sleep disruption since presumed infection.</w:t>
      </w:r>
    </w:p>
    <w:p w14:paraId="4352B23E" w14:textId="77777777" w:rsidR="00F375BD" w:rsidRPr="005A319C" w:rsidRDefault="00F375BD" w:rsidP="00F375BD">
      <w:pPr>
        <w:numPr>
          <w:ilvl w:val="0"/>
          <w:numId w:val="32"/>
        </w:numPr>
        <w:spacing w:after="200" w:line="276" w:lineRule="auto"/>
        <w:contextualSpacing w:val="0"/>
      </w:pPr>
      <w:r w:rsidRPr="00DA7B9B">
        <w:rPr>
          <w:rFonts w:eastAsia="Times New Roman"/>
          <w:color w:val="000000"/>
        </w:rPr>
        <w:lastRenderedPageBreak/>
        <w:t>New onset psychological or mental health issues occurring in relation to presumed infection</w:t>
      </w:r>
      <w:r>
        <w:rPr>
          <w:rFonts w:eastAsia="Times New Roman"/>
          <w:color w:val="000000"/>
        </w:rPr>
        <w:t>.</w:t>
      </w:r>
      <w:r w:rsidRPr="005A319C">
        <w:t xml:space="preserve"> </w:t>
      </w:r>
    </w:p>
    <w:p w14:paraId="568CCCCA" w14:textId="77777777" w:rsidR="00F375BD" w:rsidRDefault="00F375BD" w:rsidP="00F375BD">
      <w:pPr>
        <w:rPr>
          <w:sz w:val="23"/>
          <w:szCs w:val="23"/>
        </w:rPr>
      </w:pPr>
      <w:r>
        <w:rPr>
          <w:sz w:val="23"/>
          <w:szCs w:val="23"/>
        </w:rPr>
        <w:t>In addition, patients are required to have been sent and self-completed the Modified Covid-19 Yorkshire Rehab Screen (C19-YRS) (attached as appendix 1)</w:t>
      </w:r>
    </w:p>
    <w:p w14:paraId="4F2A5E9A" w14:textId="77777777" w:rsidR="00F375BD" w:rsidRDefault="00F375BD" w:rsidP="00F375BD">
      <w:pPr>
        <w:rPr>
          <w:rFonts w:eastAsiaTheme="minorEastAsia"/>
          <w:sz w:val="23"/>
          <w:szCs w:val="23"/>
        </w:rPr>
      </w:pPr>
    </w:p>
    <w:p w14:paraId="72993A2C" w14:textId="77777777" w:rsidR="00F375BD" w:rsidRDefault="00F375BD" w:rsidP="00F375BD">
      <w:pPr>
        <w:rPr>
          <w:b/>
          <w:bCs/>
          <w:color w:val="FF0000"/>
          <w:sz w:val="23"/>
          <w:szCs w:val="23"/>
        </w:rPr>
      </w:pPr>
      <w:r>
        <w:rPr>
          <w:b/>
          <w:bCs/>
          <w:color w:val="FF0000"/>
          <w:sz w:val="23"/>
          <w:szCs w:val="23"/>
        </w:rPr>
        <w:t>PATIENTS DO NOT NEED POSITIVE LAB CONFIRMATION OF COVID-19 INFECTION.</w:t>
      </w:r>
    </w:p>
    <w:p w14:paraId="5D1E628E" w14:textId="77777777" w:rsidR="00F375BD" w:rsidRDefault="00F375BD" w:rsidP="00F375BD">
      <w:pPr>
        <w:rPr>
          <w:b/>
          <w:bCs/>
          <w:color w:val="FF0000"/>
          <w:sz w:val="23"/>
          <w:szCs w:val="23"/>
        </w:rPr>
      </w:pPr>
    </w:p>
    <w:p w14:paraId="7B598D30" w14:textId="77777777" w:rsidR="00F375BD" w:rsidRPr="00F375BD" w:rsidRDefault="00F375BD" w:rsidP="00F375BD">
      <w:pPr>
        <w:pStyle w:val="Heading3"/>
        <w:rPr>
          <w:rFonts w:eastAsia="Times New Roman"/>
          <w:b w:val="0"/>
          <w:bCs/>
          <w:color w:val="365F91"/>
          <w:sz w:val="28"/>
          <w:szCs w:val="28"/>
        </w:rPr>
      </w:pPr>
      <w:r w:rsidRPr="00F375BD">
        <w:rPr>
          <w:rFonts w:eastAsia="Times New Roman"/>
          <w:bCs/>
          <w:sz w:val="28"/>
          <w:szCs w:val="28"/>
        </w:rPr>
        <w:t>Exclusion Criteria</w:t>
      </w:r>
    </w:p>
    <w:p w14:paraId="358A5729" w14:textId="77777777" w:rsidR="00F375BD" w:rsidRDefault="00F375BD" w:rsidP="00F375BD">
      <w:pPr>
        <w:rPr>
          <w:rFonts w:eastAsiaTheme="minorEastAsia"/>
          <w:sz w:val="23"/>
          <w:szCs w:val="23"/>
        </w:rPr>
      </w:pPr>
      <w:r>
        <w:rPr>
          <w:sz w:val="23"/>
          <w:szCs w:val="23"/>
        </w:rPr>
        <w:t>Referral should not be based solely on a specific diagnosis, although diagnosed complications must be referred to the appropriate specialty. This service is not for acute or emergency cases.</w:t>
      </w:r>
    </w:p>
    <w:p w14:paraId="173E88F4" w14:textId="77777777" w:rsidR="00F375BD" w:rsidRPr="0009050D" w:rsidRDefault="00F375BD" w:rsidP="00F375BD">
      <w:pPr>
        <w:numPr>
          <w:ilvl w:val="0"/>
          <w:numId w:val="25"/>
        </w:numPr>
        <w:spacing w:after="200" w:line="276" w:lineRule="auto"/>
        <w:contextualSpacing w:val="0"/>
        <w:rPr>
          <w:rFonts w:ascii="Calibri" w:eastAsia="Times New Roman" w:hAnsi="Calibri" w:cs="Calibri"/>
        </w:rPr>
      </w:pPr>
      <w:r>
        <w:rPr>
          <w:rFonts w:eastAsia="Times New Roman"/>
        </w:rPr>
        <w:t>Suicide ris</w:t>
      </w:r>
      <w:r w:rsidRPr="0009050D">
        <w:rPr>
          <w:rFonts w:eastAsia="Times New Roman"/>
        </w:rPr>
        <w:t>k (refer urgently to Access to Wellbeing team or Crisis team)</w:t>
      </w:r>
    </w:p>
    <w:p w14:paraId="5518AFF0" w14:textId="77777777" w:rsidR="00F375BD" w:rsidRDefault="00F375BD" w:rsidP="00F375BD">
      <w:pPr>
        <w:numPr>
          <w:ilvl w:val="0"/>
          <w:numId w:val="25"/>
        </w:numPr>
        <w:spacing w:after="200" w:line="276" w:lineRule="auto"/>
        <w:contextualSpacing w:val="0"/>
        <w:rPr>
          <w:rFonts w:eastAsia="Times New Roman"/>
        </w:rPr>
      </w:pPr>
      <w:r>
        <w:rPr>
          <w:rFonts w:eastAsia="Times New Roman"/>
        </w:rPr>
        <w:t>Severe hypoxaemia or desaturation during exercise</w:t>
      </w:r>
    </w:p>
    <w:p w14:paraId="2F2265FA" w14:textId="77777777" w:rsidR="00F375BD" w:rsidRDefault="00F375BD" w:rsidP="00F375BD">
      <w:pPr>
        <w:numPr>
          <w:ilvl w:val="0"/>
          <w:numId w:val="25"/>
        </w:numPr>
        <w:spacing w:after="200" w:line="276" w:lineRule="auto"/>
        <w:contextualSpacing w:val="0"/>
        <w:rPr>
          <w:rFonts w:eastAsia="Times New Roman"/>
        </w:rPr>
      </w:pPr>
      <w:r>
        <w:rPr>
          <w:rFonts w:eastAsia="Times New Roman"/>
        </w:rPr>
        <w:t>Signs of severe lung disease</w:t>
      </w:r>
    </w:p>
    <w:p w14:paraId="55AEEEDA" w14:textId="77777777" w:rsidR="00F375BD" w:rsidRDefault="00F375BD" w:rsidP="00F375BD">
      <w:pPr>
        <w:numPr>
          <w:ilvl w:val="0"/>
          <w:numId w:val="25"/>
        </w:numPr>
        <w:spacing w:after="200" w:line="276" w:lineRule="auto"/>
        <w:contextualSpacing w:val="0"/>
        <w:rPr>
          <w:rFonts w:eastAsia="Times New Roman"/>
        </w:rPr>
      </w:pPr>
      <w:r>
        <w:rPr>
          <w:rFonts w:eastAsia="Times New Roman"/>
        </w:rPr>
        <w:t>Cardiac chest pain</w:t>
      </w:r>
    </w:p>
    <w:p w14:paraId="330E0287" w14:textId="77777777" w:rsidR="00F375BD" w:rsidRDefault="00F375BD" w:rsidP="00F375BD">
      <w:pPr>
        <w:numPr>
          <w:ilvl w:val="0"/>
          <w:numId w:val="25"/>
        </w:numPr>
        <w:spacing w:after="200" w:line="276" w:lineRule="auto"/>
        <w:contextualSpacing w:val="0"/>
        <w:rPr>
          <w:rFonts w:eastAsia="Times New Roman"/>
        </w:rPr>
      </w:pPr>
      <w:r>
        <w:rPr>
          <w:rFonts w:eastAsia="Times New Roman"/>
        </w:rPr>
        <w:t>Suspected VTE</w:t>
      </w:r>
    </w:p>
    <w:p w14:paraId="3B83CD02" w14:textId="77777777" w:rsidR="00F375BD" w:rsidRDefault="00F375BD" w:rsidP="00F375BD">
      <w:pPr>
        <w:numPr>
          <w:ilvl w:val="0"/>
          <w:numId w:val="25"/>
        </w:numPr>
        <w:spacing w:after="200" w:line="276" w:lineRule="auto"/>
        <w:contextualSpacing w:val="0"/>
        <w:rPr>
          <w:rFonts w:eastAsia="Times New Roman"/>
        </w:rPr>
      </w:pPr>
      <w:r>
        <w:rPr>
          <w:rFonts w:eastAsia="Times New Roman"/>
        </w:rPr>
        <w:t>Conditions when waiting may pose clinical risk</w:t>
      </w:r>
    </w:p>
    <w:p w14:paraId="4A5CA902" w14:textId="77777777" w:rsidR="00F375BD" w:rsidRDefault="00F375BD" w:rsidP="00F375BD">
      <w:pPr>
        <w:numPr>
          <w:ilvl w:val="0"/>
          <w:numId w:val="25"/>
        </w:numPr>
        <w:spacing w:after="200" w:line="276" w:lineRule="auto"/>
        <w:contextualSpacing w:val="0"/>
        <w:rPr>
          <w:rFonts w:eastAsia="Times New Roman"/>
        </w:rPr>
      </w:pPr>
      <w:r>
        <w:rPr>
          <w:rFonts w:eastAsia="Times New Roman"/>
        </w:rPr>
        <w:t>Previous ME/CFS diagnosis</w:t>
      </w:r>
    </w:p>
    <w:p w14:paraId="5FCC7F0D" w14:textId="77777777" w:rsidR="00F375BD" w:rsidRPr="00F375BD" w:rsidRDefault="00F375BD" w:rsidP="00F375BD">
      <w:pPr>
        <w:pStyle w:val="Heading3"/>
        <w:rPr>
          <w:rFonts w:eastAsia="Times New Roman"/>
          <w:b w:val="0"/>
          <w:bCs/>
          <w:sz w:val="28"/>
          <w:szCs w:val="28"/>
        </w:rPr>
      </w:pPr>
      <w:r w:rsidRPr="00F375BD">
        <w:rPr>
          <w:rFonts w:eastAsia="Times New Roman"/>
          <w:bCs/>
          <w:sz w:val="28"/>
          <w:szCs w:val="28"/>
        </w:rPr>
        <w:t>Required Pre-Referral Investigations and Information</w:t>
      </w:r>
    </w:p>
    <w:p w14:paraId="433300F2" w14:textId="77777777" w:rsidR="00F375BD" w:rsidRPr="00F375BD" w:rsidRDefault="00F375BD" w:rsidP="00F375BD">
      <w:pPr>
        <w:pStyle w:val="Heading4"/>
        <w:rPr>
          <w:rFonts w:ascii="Arial" w:eastAsia="Times New Roman" w:hAnsi="Arial" w:cs="Arial"/>
          <w:color w:val="auto"/>
          <w:szCs w:val="24"/>
        </w:rPr>
      </w:pPr>
      <w:r w:rsidRPr="00F375BD">
        <w:rPr>
          <w:rFonts w:ascii="Arial" w:eastAsia="Times New Roman" w:hAnsi="Arial" w:cs="Arial"/>
          <w:color w:val="auto"/>
          <w:szCs w:val="24"/>
        </w:rPr>
        <w:t>Respiratory</w:t>
      </w:r>
    </w:p>
    <w:p w14:paraId="16B81AFC" w14:textId="77777777" w:rsidR="00F375BD" w:rsidRDefault="00F375BD" w:rsidP="00F375BD">
      <w:pPr>
        <w:numPr>
          <w:ilvl w:val="0"/>
          <w:numId w:val="26"/>
        </w:numPr>
        <w:spacing w:after="200" w:line="276" w:lineRule="auto"/>
        <w:contextualSpacing w:val="0"/>
        <w:rPr>
          <w:rFonts w:ascii="Calibri" w:eastAsia="Times New Roman" w:hAnsi="Calibri" w:cs="Calibri"/>
        </w:rPr>
      </w:pPr>
      <w:r>
        <w:rPr>
          <w:rFonts w:eastAsia="Times New Roman"/>
        </w:rPr>
        <w:t xml:space="preserve">CXR, Spirometry, </w:t>
      </w:r>
      <w:proofErr w:type="spellStart"/>
      <w:r>
        <w:rPr>
          <w:rFonts w:eastAsia="Times New Roman"/>
        </w:rPr>
        <w:t>FeNO</w:t>
      </w:r>
      <w:proofErr w:type="spellEnd"/>
      <w:r>
        <w:rPr>
          <w:rFonts w:eastAsia="Times New Roman"/>
        </w:rPr>
        <w:t>, Pulse Oximetry, Sit to Stand test (as indicated)</w:t>
      </w:r>
    </w:p>
    <w:p w14:paraId="2FEFEB92" w14:textId="77777777" w:rsidR="00F375BD" w:rsidRDefault="00F375BD" w:rsidP="00F375BD">
      <w:pPr>
        <w:numPr>
          <w:ilvl w:val="0"/>
          <w:numId w:val="26"/>
        </w:numPr>
        <w:spacing w:after="200" w:line="276" w:lineRule="auto"/>
        <w:contextualSpacing w:val="0"/>
        <w:rPr>
          <w:rFonts w:eastAsia="Times New Roman"/>
        </w:rPr>
      </w:pPr>
      <w:r>
        <w:rPr>
          <w:rFonts w:eastAsia="Times New Roman"/>
        </w:rPr>
        <w:t>Sleep Study if Epworth Sleepiness or StopBang scores are elevated</w:t>
      </w:r>
    </w:p>
    <w:p w14:paraId="222D1875" w14:textId="77777777" w:rsidR="00F375BD" w:rsidRPr="00F375BD" w:rsidRDefault="00F375BD" w:rsidP="00F375BD">
      <w:pPr>
        <w:pStyle w:val="Heading4"/>
        <w:rPr>
          <w:rFonts w:ascii="Arial" w:eastAsia="Times New Roman" w:hAnsi="Arial" w:cs="Arial"/>
          <w:color w:val="auto"/>
          <w:szCs w:val="24"/>
        </w:rPr>
      </w:pPr>
      <w:r w:rsidRPr="00F375BD">
        <w:rPr>
          <w:rFonts w:ascii="Arial" w:eastAsia="Times New Roman" w:hAnsi="Arial" w:cs="Arial"/>
          <w:color w:val="auto"/>
          <w:szCs w:val="24"/>
        </w:rPr>
        <w:t>Cardiovascular</w:t>
      </w:r>
    </w:p>
    <w:p w14:paraId="371000DE" w14:textId="77777777" w:rsidR="00F375BD" w:rsidRDefault="00F375BD" w:rsidP="00F375BD">
      <w:pPr>
        <w:numPr>
          <w:ilvl w:val="0"/>
          <w:numId w:val="27"/>
        </w:numPr>
        <w:spacing w:after="200" w:line="276" w:lineRule="auto"/>
        <w:contextualSpacing w:val="0"/>
        <w:rPr>
          <w:rFonts w:ascii="Calibri" w:eastAsia="Times New Roman" w:hAnsi="Calibri" w:cs="Calibri"/>
        </w:rPr>
      </w:pPr>
      <w:r>
        <w:rPr>
          <w:rFonts w:eastAsia="Times New Roman"/>
        </w:rPr>
        <w:t>ECG, Lying/Standing BP, 10 Minute Lean Test (as indicated)</w:t>
      </w:r>
    </w:p>
    <w:p w14:paraId="7BFE1F9C" w14:textId="77777777" w:rsidR="00F375BD" w:rsidRPr="00F375BD" w:rsidRDefault="00F375BD" w:rsidP="00F375BD">
      <w:pPr>
        <w:pStyle w:val="Heading4"/>
        <w:rPr>
          <w:rFonts w:ascii="Arial" w:eastAsia="Times New Roman" w:hAnsi="Arial" w:cs="Arial"/>
          <w:color w:val="auto"/>
          <w:szCs w:val="24"/>
        </w:rPr>
      </w:pPr>
      <w:r w:rsidRPr="00F375BD">
        <w:rPr>
          <w:rFonts w:ascii="Arial" w:eastAsia="Times New Roman" w:hAnsi="Arial" w:cs="Arial"/>
          <w:color w:val="auto"/>
          <w:szCs w:val="24"/>
        </w:rPr>
        <w:t>Examination Findings</w:t>
      </w:r>
    </w:p>
    <w:p w14:paraId="5F0F9124" w14:textId="77777777" w:rsidR="00F375BD" w:rsidRDefault="00F375BD" w:rsidP="00F375BD">
      <w:pPr>
        <w:numPr>
          <w:ilvl w:val="0"/>
          <w:numId w:val="28"/>
        </w:numPr>
        <w:spacing w:after="200" w:line="276" w:lineRule="auto"/>
        <w:contextualSpacing w:val="0"/>
        <w:rPr>
          <w:rFonts w:ascii="Calibri" w:eastAsia="Times New Roman" w:hAnsi="Calibri" w:cs="Calibri"/>
        </w:rPr>
      </w:pPr>
      <w:r>
        <w:rPr>
          <w:rFonts w:eastAsia="Times New Roman"/>
        </w:rPr>
        <w:t>General Exam</w:t>
      </w:r>
    </w:p>
    <w:p w14:paraId="733FFA73" w14:textId="77777777" w:rsidR="00F375BD" w:rsidRDefault="00F375BD" w:rsidP="00F375BD">
      <w:pPr>
        <w:numPr>
          <w:ilvl w:val="0"/>
          <w:numId w:val="28"/>
        </w:numPr>
        <w:spacing w:after="200" w:line="276" w:lineRule="auto"/>
        <w:contextualSpacing w:val="0"/>
        <w:rPr>
          <w:rFonts w:eastAsia="Times New Roman"/>
        </w:rPr>
      </w:pPr>
      <w:r>
        <w:rPr>
          <w:rFonts w:eastAsia="Times New Roman"/>
        </w:rPr>
        <w:t>Respiratory Exam</w:t>
      </w:r>
    </w:p>
    <w:p w14:paraId="78780EF3" w14:textId="77777777" w:rsidR="00F375BD" w:rsidRDefault="00F375BD" w:rsidP="00F375BD">
      <w:pPr>
        <w:numPr>
          <w:ilvl w:val="0"/>
          <w:numId w:val="28"/>
        </w:numPr>
        <w:spacing w:after="200" w:line="276" w:lineRule="auto"/>
        <w:contextualSpacing w:val="0"/>
        <w:rPr>
          <w:rFonts w:eastAsia="Times New Roman"/>
        </w:rPr>
      </w:pPr>
      <w:r>
        <w:rPr>
          <w:rFonts w:eastAsia="Times New Roman"/>
        </w:rPr>
        <w:t>Cardiovascular Exam</w:t>
      </w:r>
    </w:p>
    <w:p w14:paraId="30E2862D" w14:textId="77777777" w:rsidR="00F375BD" w:rsidRDefault="00F375BD" w:rsidP="00F375BD">
      <w:pPr>
        <w:numPr>
          <w:ilvl w:val="0"/>
          <w:numId w:val="28"/>
        </w:numPr>
        <w:spacing w:after="200" w:line="276" w:lineRule="auto"/>
        <w:contextualSpacing w:val="0"/>
        <w:rPr>
          <w:rFonts w:eastAsia="Times New Roman"/>
        </w:rPr>
      </w:pPr>
      <w:r>
        <w:rPr>
          <w:rFonts w:eastAsia="Times New Roman"/>
        </w:rPr>
        <w:t>Gastrointestinal Exam</w:t>
      </w:r>
    </w:p>
    <w:p w14:paraId="7D423699" w14:textId="77777777" w:rsidR="00F375BD" w:rsidRDefault="00F375BD" w:rsidP="00F375BD">
      <w:pPr>
        <w:numPr>
          <w:ilvl w:val="0"/>
          <w:numId w:val="28"/>
        </w:numPr>
        <w:spacing w:after="200" w:line="276" w:lineRule="auto"/>
        <w:contextualSpacing w:val="0"/>
        <w:rPr>
          <w:rFonts w:eastAsia="Times New Roman"/>
        </w:rPr>
      </w:pPr>
      <w:r>
        <w:rPr>
          <w:rFonts w:eastAsia="Times New Roman"/>
        </w:rPr>
        <w:t>Musculoskeletal Exam (if indicated)</w:t>
      </w:r>
    </w:p>
    <w:p w14:paraId="70358C02" w14:textId="77777777" w:rsidR="00F375BD" w:rsidRDefault="00F375BD" w:rsidP="00F375BD">
      <w:pPr>
        <w:numPr>
          <w:ilvl w:val="0"/>
          <w:numId w:val="28"/>
        </w:numPr>
        <w:spacing w:after="200" w:line="276" w:lineRule="auto"/>
        <w:contextualSpacing w:val="0"/>
        <w:rPr>
          <w:rFonts w:eastAsia="Times New Roman"/>
        </w:rPr>
      </w:pPr>
      <w:r>
        <w:rPr>
          <w:rFonts w:eastAsia="Times New Roman"/>
        </w:rPr>
        <w:t>Neurological Exam (if required)</w:t>
      </w:r>
    </w:p>
    <w:p w14:paraId="51490F74" w14:textId="77777777" w:rsidR="00F375BD" w:rsidRDefault="00F375BD" w:rsidP="00F375BD">
      <w:pPr>
        <w:rPr>
          <w:rFonts w:eastAsiaTheme="minorEastAsia"/>
          <w:sz w:val="23"/>
          <w:szCs w:val="23"/>
        </w:rPr>
      </w:pPr>
      <w:r>
        <w:rPr>
          <w:sz w:val="23"/>
          <w:szCs w:val="23"/>
        </w:rPr>
        <w:t>Blood tests should be performed based on clinical need, and may include the following:</w:t>
      </w:r>
    </w:p>
    <w:p w14:paraId="7AE2B02D" w14:textId="77777777" w:rsidR="00F375BD" w:rsidRDefault="00F375BD" w:rsidP="00F375BD">
      <w:pPr>
        <w:numPr>
          <w:ilvl w:val="0"/>
          <w:numId w:val="29"/>
        </w:numPr>
        <w:spacing w:after="200" w:line="276" w:lineRule="auto"/>
        <w:contextualSpacing w:val="0"/>
        <w:rPr>
          <w:rFonts w:ascii="Calibri" w:eastAsia="Times New Roman" w:hAnsi="Calibri" w:cs="Calibri"/>
        </w:rPr>
      </w:pPr>
      <w:r>
        <w:rPr>
          <w:rFonts w:eastAsia="Times New Roman"/>
        </w:rPr>
        <w:t>Full Blood Count (FBC)</w:t>
      </w:r>
    </w:p>
    <w:p w14:paraId="658DA2C9" w14:textId="77777777" w:rsidR="00F375BD" w:rsidRDefault="00F375BD" w:rsidP="00F375BD">
      <w:pPr>
        <w:numPr>
          <w:ilvl w:val="0"/>
          <w:numId w:val="29"/>
        </w:numPr>
        <w:spacing w:after="200" w:line="276" w:lineRule="auto"/>
        <w:contextualSpacing w:val="0"/>
        <w:rPr>
          <w:rFonts w:eastAsia="Times New Roman"/>
        </w:rPr>
      </w:pPr>
      <w:r>
        <w:rPr>
          <w:rFonts w:eastAsia="Times New Roman"/>
        </w:rPr>
        <w:lastRenderedPageBreak/>
        <w:t>Urea and Electrolytes (U+E), Calcium (Ca++)</w:t>
      </w:r>
    </w:p>
    <w:p w14:paraId="05AADD5A" w14:textId="77777777" w:rsidR="00F375BD" w:rsidRDefault="00F375BD" w:rsidP="00F375BD">
      <w:pPr>
        <w:numPr>
          <w:ilvl w:val="0"/>
          <w:numId w:val="29"/>
        </w:numPr>
        <w:spacing w:after="200" w:line="276" w:lineRule="auto"/>
        <w:contextualSpacing w:val="0"/>
        <w:rPr>
          <w:rFonts w:eastAsia="Times New Roman"/>
        </w:rPr>
      </w:pPr>
      <w:r>
        <w:rPr>
          <w:rFonts w:eastAsia="Times New Roman"/>
        </w:rPr>
        <w:t>Liver Function Tests (LFT)</w:t>
      </w:r>
    </w:p>
    <w:p w14:paraId="06FA817E" w14:textId="77777777" w:rsidR="00F375BD" w:rsidRDefault="00F375BD" w:rsidP="00F375BD">
      <w:pPr>
        <w:numPr>
          <w:ilvl w:val="0"/>
          <w:numId w:val="29"/>
        </w:numPr>
        <w:spacing w:after="200" w:line="276" w:lineRule="auto"/>
        <w:contextualSpacing w:val="0"/>
        <w:rPr>
          <w:rFonts w:eastAsia="Times New Roman"/>
        </w:rPr>
      </w:pPr>
      <w:r>
        <w:rPr>
          <w:rFonts w:eastAsia="Times New Roman"/>
        </w:rPr>
        <w:t>C-Reactive Protein (CRP)</w:t>
      </w:r>
    </w:p>
    <w:p w14:paraId="5346704D" w14:textId="77777777" w:rsidR="00F375BD" w:rsidRDefault="00F375BD" w:rsidP="00F375BD">
      <w:pPr>
        <w:numPr>
          <w:ilvl w:val="0"/>
          <w:numId w:val="29"/>
        </w:numPr>
        <w:spacing w:after="200" w:line="276" w:lineRule="auto"/>
        <w:contextualSpacing w:val="0"/>
        <w:rPr>
          <w:rFonts w:eastAsia="Times New Roman"/>
        </w:rPr>
      </w:pPr>
      <w:r>
        <w:rPr>
          <w:rFonts w:eastAsia="Times New Roman"/>
        </w:rPr>
        <w:t>Vitamin B12, Folate, Haematinics, and Vitamin D levels</w:t>
      </w:r>
    </w:p>
    <w:p w14:paraId="504F1649" w14:textId="77777777" w:rsidR="00F375BD" w:rsidRDefault="00F375BD" w:rsidP="00F375BD">
      <w:pPr>
        <w:numPr>
          <w:ilvl w:val="0"/>
          <w:numId w:val="29"/>
        </w:numPr>
        <w:spacing w:after="200" w:line="276" w:lineRule="auto"/>
        <w:contextualSpacing w:val="0"/>
        <w:rPr>
          <w:rFonts w:eastAsia="Times New Roman"/>
        </w:rPr>
      </w:pPr>
      <w:r>
        <w:rPr>
          <w:rFonts w:eastAsia="Times New Roman"/>
        </w:rPr>
        <w:t>HbA1c and Thyroid Function Tests (TFTs)</w:t>
      </w:r>
    </w:p>
    <w:p w14:paraId="0516BFF8" w14:textId="77777777" w:rsidR="00F375BD" w:rsidRDefault="00F375BD" w:rsidP="00F375BD">
      <w:pPr>
        <w:numPr>
          <w:ilvl w:val="0"/>
          <w:numId w:val="29"/>
        </w:numPr>
        <w:spacing w:after="200" w:line="276" w:lineRule="auto"/>
        <w:contextualSpacing w:val="0"/>
        <w:rPr>
          <w:rFonts w:eastAsia="Times New Roman"/>
        </w:rPr>
      </w:pPr>
      <w:r>
        <w:rPr>
          <w:rFonts w:eastAsia="Times New Roman"/>
        </w:rPr>
        <w:t>D-Dimer (only if venous thromboembolism [VTE] is suspected; if positive, exclude VTE)</w:t>
      </w:r>
    </w:p>
    <w:p w14:paraId="54CF5194" w14:textId="77777777" w:rsidR="00F375BD" w:rsidRDefault="00F375BD" w:rsidP="00F375BD">
      <w:pPr>
        <w:numPr>
          <w:ilvl w:val="0"/>
          <w:numId w:val="29"/>
        </w:numPr>
        <w:spacing w:after="200" w:line="276" w:lineRule="auto"/>
        <w:contextualSpacing w:val="0"/>
        <w:rPr>
          <w:rFonts w:eastAsia="Times New Roman"/>
        </w:rPr>
      </w:pPr>
      <w:r>
        <w:rPr>
          <w:rFonts w:eastAsia="Times New Roman"/>
        </w:rPr>
        <w:t>B-type Natriuretic Peptide (BNP) (only if heart failure is suspected)</w:t>
      </w:r>
    </w:p>
    <w:p w14:paraId="3079755B" w14:textId="77777777" w:rsidR="00F375BD" w:rsidRDefault="00F375BD" w:rsidP="00F375BD">
      <w:pPr>
        <w:numPr>
          <w:ilvl w:val="0"/>
          <w:numId w:val="29"/>
        </w:numPr>
        <w:spacing w:after="200" w:line="276" w:lineRule="auto"/>
        <w:contextualSpacing w:val="0"/>
        <w:rPr>
          <w:rFonts w:eastAsia="Times New Roman"/>
        </w:rPr>
      </w:pPr>
      <w:r>
        <w:rPr>
          <w:rFonts w:eastAsia="Times New Roman"/>
        </w:rPr>
        <w:t>Documented evidence of a positive PCR result, if available</w:t>
      </w:r>
    </w:p>
    <w:p w14:paraId="3E97EEB0" w14:textId="77777777" w:rsidR="00F375BD" w:rsidRPr="00F375BD" w:rsidRDefault="00F375BD" w:rsidP="00F375BD">
      <w:pPr>
        <w:pStyle w:val="Heading4"/>
        <w:rPr>
          <w:rFonts w:ascii="Arial" w:eastAsia="Times New Roman" w:hAnsi="Arial" w:cs="Arial"/>
          <w:color w:val="auto"/>
          <w:szCs w:val="24"/>
        </w:rPr>
      </w:pPr>
      <w:r w:rsidRPr="00F375BD">
        <w:rPr>
          <w:rFonts w:ascii="Arial" w:eastAsia="Times New Roman" w:hAnsi="Arial" w:cs="Arial"/>
          <w:color w:val="auto"/>
          <w:szCs w:val="24"/>
        </w:rPr>
        <w:t>Further information</w:t>
      </w:r>
    </w:p>
    <w:p w14:paraId="65ACAC7A" w14:textId="77777777" w:rsidR="00F375BD" w:rsidRDefault="00F375BD" w:rsidP="00F375BD">
      <w:pPr>
        <w:numPr>
          <w:ilvl w:val="0"/>
          <w:numId w:val="30"/>
        </w:numPr>
        <w:spacing w:after="200" w:line="276" w:lineRule="auto"/>
        <w:contextualSpacing w:val="0"/>
        <w:rPr>
          <w:rFonts w:ascii="Calibri" w:eastAsia="Times New Roman" w:hAnsi="Calibri" w:cs="Calibri"/>
        </w:rPr>
      </w:pPr>
      <w:r>
        <w:rPr>
          <w:rFonts w:eastAsia="Times New Roman"/>
        </w:rPr>
        <w:t>Current reasons for referral including functional problems</w:t>
      </w:r>
    </w:p>
    <w:p w14:paraId="2C61BCA8" w14:textId="77777777" w:rsidR="00F375BD" w:rsidRDefault="00F375BD" w:rsidP="00F375BD">
      <w:pPr>
        <w:numPr>
          <w:ilvl w:val="0"/>
          <w:numId w:val="30"/>
        </w:numPr>
        <w:spacing w:after="200" w:line="276" w:lineRule="auto"/>
        <w:contextualSpacing w:val="0"/>
        <w:rPr>
          <w:rFonts w:eastAsia="Times New Roman"/>
        </w:rPr>
      </w:pPr>
      <w:r>
        <w:rPr>
          <w:rFonts w:eastAsia="Times New Roman"/>
        </w:rPr>
        <w:t>Significant Past Medical History</w:t>
      </w:r>
    </w:p>
    <w:p w14:paraId="3C8F47EE" w14:textId="77777777" w:rsidR="00F375BD" w:rsidRDefault="00F375BD" w:rsidP="00F375BD">
      <w:pPr>
        <w:numPr>
          <w:ilvl w:val="0"/>
          <w:numId w:val="30"/>
        </w:numPr>
        <w:spacing w:after="200" w:line="276" w:lineRule="auto"/>
        <w:contextualSpacing w:val="0"/>
        <w:rPr>
          <w:rFonts w:eastAsia="Times New Roman"/>
        </w:rPr>
      </w:pPr>
      <w:r>
        <w:rPr>
          <w:rFonts w:eastAsia="Times New Roman"/>
        </w:rPr>
        <w:t>Significant Psychiatric History</w:t>
      </w:r>
    </w:p>
    <w:p w14:paraId="5FC75990" w14:textId="77777777" w:rsidR="00F375BD" w:rsidRDefault="00F375BD" w:rsidP="00F375BD">
      <w:pPr>
        <w:numPr>
          <w:ilvl w:val="0"/>
          <w:numId w:val="30"/>
        </w:numPr>
        <w:spacing w:after="200" w:line="276" w:lineRule="auto"/>
        <w:contextualSpacing w:val="0"/>
        <w:rPr>
          <w:rFonts w:eastAsia="Times New Roman"/>
        </w:rPr>
      </w:pPr>
      <w:r>
        <w:rPr>
          <w:rFonts w:eastAsia="Times New Roman"/>
        </w:rPr>
        <w:t>Current Medication and Allergies</w:t>
      </w:r>
    </w:p>
    <w:p w14:paraId="7DC3DCEC" w14:textId="77777777" w:rsidR="00F375BD" w:rsidRPr="00F375BD" w:rsidRDefault="00F375BD" w:rsidP="00F375BD">
      <w:pPr>
        <w:pStyle w:val="Heading3"/>
        <w:rPr>
          <w:rFonts w:eastAsia="Times New Roman"/>
          <w:b w:val="0"/>
          <w:bCs/>
          <w:sz w:val="28"/>
          <w:szCs w:val="28"/>
        </w:rPr>
      </w:pPr>
      <w:r w:rsidRPr="00F375BD">
        <w:rPr>
          <w:rFonts w:eastAsia="Times New Roman"/>
          <w:bCs/>
          <w:sz w:val="28"/>
          <w:szCs w:val="28"/>
        </w:rPr>
        <w:t>How to refer</w:t>
      </w:r>
    </w:p>
    <w:p w14:paraId="5DFF545A" w14:textId="77777777" w:rsidR="00F375BD" w:rsidRDefault="00F375BD" w:rsidP="00F375BD">
      <w:pPr>
        <w:rPr>
          <w:rFonts w:eastAsiaTheme="minorEastAsia"/>
          <w:sz w:val="23"/>
          <w:szCs w:val="23"/>
        </w:rPr>
      </w:pPr>
      <w:r>
        <w:rPr>
          <w:sz w:val="23"/>
          <w:szCs w:val="23"/>
        </w:rPr>
        <w:t>We are only able to accept patients from York, Selby, Scarborough and Ryedale GP Practices. Out of area patients can only be accepted in exceptional circumstances and with approval from the ICB.</w:t>
      </w:r>
    </w:p>
    <w:p w14:paraId="2753DC09" w14:textId="77777777" w:rsidR="00F375BD" w:rsidRDefault="00F375BD" w:rsidP="00F375BD">
      <w:pPr>
        <w:rPr>
          <w:sz w:val="23"/>
          <w:szCs w:val="23"/>
        </w:rPr>
      </w:pPr>
      <w:r>
        <w:rPr>
          <w:sz w:val="23"/>
          <w:szCs w:val="23"/>
        </w:rPr>
        <w:t xml:space="preserve">Where GPs / practices wish to refer patients, they should ensure the patient fulfils the service referral criteria. All referrals need to be submitted via RSS and attach the </w:t>
      </w:r>
      <w:r w:rsidRPr="006814AB">
        <w:rPr>
          <w:b/>
          <w:bCs/>
          <w:sz w:val="23"/>
          <w:szCs w:val="23"/>
        </w:rPr>
        <w:t xml:space="preserve">patient completed </w:t>
      </w:r>
      <w:r>
        <w:rPr>
          <w:sz w:val="23"/>
          <w:szCs w:val="23"/>
        </w:rPr>
        <w:t>Covid 19 Yorkshire Rehab Screening tool (C19-YRS).</w:t>
      </w:r>
    </w:p>
    <w:p w14:paraId="53D93055" w14:textId="77777777" w:rsidR="00087589" w:rsidRDefault="00087589" w:rsidP="00F375BD">
      <w:pPr>
        <w:rPr>
          <w:sz w:val="23"/>
          <w:szCs w:val="23"/>
        </w:rPr>
      </w:pPr>
    </w:p>
    <w:p w14:paraId="572D08DB" w14:textId="77777777" w:rsidR="00F375BD" w:rsidRPr="00F375BD" w:rsidRDefault="00F375BD" w:rsidP="00F375BD">
      <w:pPr>
        <w:pStyle w:val="Heading3"/>
        <w:rPr>
          <w:rFonts w:eastAsia="Times New Roman"/>
          <w:b w:val="0"/>
          <w:bCs/>
          <w:sz w:val="28"/>
          <w:szCs w:val="28"/>
        </w:rPr>
      </w:pPr>
      <w:r w:rsidRPr="00F375BD">
        <w:rPr>
          <w:rFonts w:eastAsia="Times New Roman"/>
          <w:bCs/>
          <w:sz w:val="28"/>
          <w:szCs w:val="28"/>
        </w:rPr>
        <w:t>Referral proforma</w:t>
      </w:r>
    </w:p>
    <w:p w14:paraId="6A6CCC54" w14:textId="175C435C" w:rsidR="00F375BD" w:rsidRPr="00087589" w:rsidRDefault="00F375BD" w:rsidP="00F375BD">
      <w:pPr>
        <w:numPr>
          <w:ilvl w:val="0"/>
          <w:numId w:val="31"/>
        </w:numPr>
        <w:spacing w:after="200" w:line="276" w:lineRule="auto"/>
        <w:contextualSpacing w:val="0"/>
        <w:rPr>
          <w:rFonts w:eastAsia="Times New Roman"/>
        </w:rPr>
      </w:pPr>
      <w:r w:rsidRPr="00087589">
        <w:rPr>
          <w:rFonts w:eastAsia="Times New Roman"/>
        </w:rPr>
        <w:t xml:space="preserve">EMIS - EMIS letter template along with a guide on how to import the letter into the clinical system can be found here </w:t>
      </w:r>
      <w:r w:rsidRPr="00087589">
        <w:rPr>
          <w:rFonts w:eastAsia="Times New Roman"/>
          <w:i/>
          <w:iCs/>
          <w:color w:val="92D050"/>
        </w:rPr>
        <w:t>These links need to be added by the ICB when setting up on the RSS/</w:t>
      </w:r>
      <w:proofErr w:type="spellStart"/>
      <w:r w:rsidRPr="00087589">
        <w:rPr>
          <w:rFonts w:eastAsia="Times New Roman"/>
          <w:i/>
          <w:iCs/>
          <w:color w:val="92D050"/>
        </w:rPr>
        <w:t>Gateway</w:t>
      </w:r>
      <w:r w:rsidRPr="00087589">
        <w:rPr>
          <w:rFonts w:eastAsia="Times New Roman"/>
        </w:rPr>
        <w:t>SystmOne</w:t>
      </w:r>
      <w:proofErr w:type="spellEnd"/>
      <w:r w:rsidRPr="00087589">
        <w:rPr>
          <w:rFonts w:eastAsia="Times New Roman"/>
        </w:rPr>
        <w:t xml:space="preserve"> – The referral proforma has been published in the reporting units and can be located as follows: Set up &gt; Referrals &amp; Letters &gt; “New” Word Letter template &gt; NECS &gt; GP Referral to Post Covid MDT Assessment </w:t>
      </w:r>
      <w:r w:rsidRPr="00087589">
        <w:rPr>
          <w:rFonts w:eastAsia="Times New Roman"/>
          <w:i/>
          <w:iCs/>
          <w:color w:val="92D050"/>
        </w:rPr>
        <w:t xml:space="preserve">  as above</w:t>
      </w:r>
    </w:p>
    <w:p w14:paraId="6AE7AAEC" w14:textId="77777777" w:rsidR="00F375BD" w:rsidRDefault="00F375BD" w:rsidP="00F375BD">
      <w:pPr>
        <w:pStyle w:val="Heading4"/>
        <w:rPr>
          <w:rFonts w:ascii="Arial" w:eastAsia="Times New Roman" w:hAnsi="Arial" w:cs="Arial"/>
          <w:b/>
          <w:bCs/>
          <w:color w:val="005EB8"/>
          <w:sz w:val="23"/>
          <w:szCs w:val="23"/>
        </w:rPr>
      </w:pPr>
      <w:r>
        <w:rPr>
          <w:rFonts w:ascii="Arial" w:eastAsia="Times New Roman" w:hAnsi="Arial" w:cs="Arial"/>
          <w:b/>
          <w:bCs/>
          <w:color w:val="005EB8"/>
          <w:sz w:val="23"/>
          <w:szCs w:val="23"/>
        </w:rPr>
        <w:t>Appendix 1</w:t>
      </w:r>
    </w:p>
    <w:p w14:paraId="226D4F35" w14:textId="77777777" w:rsidR="00F375BD" w:rsidRPr="00F375BD" w:rsidRDefault="00F375BD" w:rsidP="00F375BD"/>
    <w:p w14:paraId="54951BF7" w14:textId="77777777" w:rsidR="00F375BD" w:rsidRPr="006814AB" w:rsidRDefault="00F375BD" w:rsidP="00F375BD">
      <w:pPr>
        <w:pStyle w:val="Heading4"/>
        <w:rPr>
          <w:rFonts w:ascii="Arial" w:eastAsia="Times New Roman" w:hAnsi="Arial" w:cs="Arial"/>
          <w:color w:val="92D050"/>
          <w:sz w:val="28"/>
          <w:szCs w:val="28"/>
        </w:rPr>
      </w:pPr>
      <w:r>
        <w:rPr>
          <w:rFonts w:ascii="Arial" w:eastAsia="Times New Roman" w:hAnsi="Arial" w:cs="Arial"/>
          <w:b/>
          <w:bCs/>
          <w:color w:val="005EB8"/>
          <w:sz w:val="28"/>
          <w:szCs w:val="28"/>
        </w:rPr>
        <w:t>Covid 19 Yorkshire Rehab Screen (C19-YRS)</w:t>
      </w:r>
      <w:r w:rsidRPr="009642F4">
        <w:t xml:space="preserve"> </w:t>
      </w:r>
      <w:r w:rsidRPr="009642F4">
        <w:rPr>
          <w:rFonts w:ascii="Arial" w:eastAsia="Times New Roman" w:hAnsi="Arial" w:cs="Arial"/>
          <w:b/>
          <w:bCs/>
          <w:color w:val="005EB8"/>
          <w:sz w:val="28"/>
          <w:szCs w:val="28"/>
        </w:rPr>
        <w:t>"Z:\Long COVID MDT\Breathlessness\Modified-C19YRS-Self-Report.pdf"</w:t>
      </w:r>
      <w:r>
        <w:rPr>
          <w:rFonts w:ascii="Arial" w:eastAsia="Times New Roman" w:hAnsi="Arial" w:cs="Arial"/>
          <w:b/>
          <w:bCs/>
          <w:color w:val="005EB8"/>
          <w:sz w:val="28"/>
          <w:szCs w:val="28"/>
        </w:rPr>
        <w:t xml:space="preserve"> </w:t>
      </w:r>
      <w:r w:rsidRPr="006814AB">
        <w:rPr>
          <w:rFonts w:ascii="Arial" w:eastAsia="Times New Roman" w:hAnsi="Arial" w:cs="Arial"/>
          <w:color w:val="92D050"/>
          <w:sz w:val="28"/>
          <w:szCs w:val="28"/>
        </w:rPr>
        <w:t xml:space="preserve">This needs to be linked to </w:t>
      </w:r>
      <w:r>
        <w:rPr>
          <w:rFonts w:ascii="Arial" w:eastAsia="Times New Roman" w:hAnsi="Arial" w:cs="Arial"/>
          <w:color w:val="92D050"/>
          <w:sz w:val="28"/>
          <w:szCs w:val="28"/>
        </w:rPr>
        <w:t>the PDF not to our MDT Folder</w:t>
      </w:r>
    </w:p>
    <w:p w14:paraId="775EB2DC" w14:textId="77777777" w:rsidR="00F375BD" w:rsidRDefault="00F375BD" w:rsidP="00F375BD">
      <w:pPr>
        <w:rPr>
          <w:rFonts w:eastAsiaTheme="minorEastAsia"/>
          <w:sz w:val="23"/>
          <w:szCs w:val="23"/>
        </w:rPr>
      </w:pPr>
      <w:hyperlink r:id="rId8" w:history="1">
        <w:r w:rsidRPr="00A101A2">
          <w:rPr>
            <w:color w:val="0000FF"/>
            <w:u w:val="single"/>
          </w:rPr>
          <w:t>Overview | COVID-19 rapid guideline: managing the long-term effects of COVID-19 | Guidance | NICE</w:t>
        </w:r>
      </w:hyperlink>
    </w:p>
    <w:p w14:paraId="0700A3DA" w14:textId="77777777" w:rsidR="00F375BD" w:rsidRPr="00471D34" w:rsidRDefault="00F375BD" w:rsidP="00F375BD">
      <w:r w:rsidRPr="00471D34">
        <w:lastRenderedPageBreak/>
        <w:t xml:space="preserve"> </w:t>
      </w:r>
    </w:p>
    <w:p w14:paraId="2CA23583" w14:textId="77777777" w:rsidR="00F375BD" w:rsidRPr="0064555E" w:rsidRDefault="00F375BD" w:rsidP="00024843">
      <w:pPr>
        <w:tabs>
          <w:tab w:val="left" w:pos="1573"/>
          <w:tab w:val="left" w:pos="2268"/>
        </w:tabs>
        <w:jc w:val="center"/>
        <w:rPr>
          <w:b/>
          <w:bCs/>
          <w:noProof/>
          <w:szCs w:val="24"/>
        </w:rPr>
      </w:pPr>
    </w:p>
    <w:p w14:paraId="763FB998" w14:textId="77777777" w:rsidR="005F32CE" w:rsidRDefault="005F32CE" w:rsidP="00024843">
      <w:pPr>
        <w:tabs>
          <w:tab w:val="left" w:pos="2268"/>
        </w:tabs>
        <w:jc w:val="center"/>
        <w:rPr>
          <w:b/>
          <w:bCs/>
          <w:color w:val="0070C0"/>
          <w:sz w:val="28"/>
          <w:szCs w:val="28"/>
        </w:rPr>
      </w:pPr>
    </w:p>
    <w:p w14:paraId="05BFF53B" w14:textId="77777777" w:rsidR="008F06DB" w:rsidRDefault="008F06DB" w:rsidP="00BC15FC">
      <w:pPr>
        <w:tabs>
          <w:tab w:val="left" w:pos="2268"/>
        </w:tabs>
        <w:rPr>
          <w:b/>
          <w:bCs/>
          <w:color w:val="0070C0"/>
          <w:sz w:val="28"/>
          <w:szCs w:val="28"/>
        </w:rPr>
      </w:pPr>
      <w:r>
        <w:rPr>
          <w:b/>
          <w:bCs/>
          <w:noProof/>
          <w:color w:val="0072C6"/>
          <w:sz w:val="28"/>
          <w:szCs w:val="28"/>
        </w:rPr>
        <w:tab/>
      </w:r>
    </w:p>
    <w:p w14:paraId="302F9966" w14:textId="77777777" w:rsidR="0064555E" w:rsidRDefault="0064555E" w:rsidP="00DE573A">
      <w:pPr>
        <w:tabs>
          <w:tab w:val="left" w:pos="2268"/>
        </w:tabs>
        <w:rPr>
          <w:b/>
          <w:bCs/>
          <w:noProof/>
          <w:color w:val="0072C6"/>
          <w:sz w:val="28"/>
          <w:szCs w:val="28"/>
        </w:rPr>
      </w:pPr>
    </w:p>
    <w:p w14:paraId="2D1CA40A" w14:textId="77777777" w:rsidR="0064555E" w:rsidRPr="0064555E" w:rsidRDefault="0064555E" w:rsidP="0064555E">
      <w:pPr>
        <w:rPr>
          <w:sz w:val="28"/>
          <w:szCs w:val="28"/>
        </w:rPr>
      </w:pPr>
    </w:p>
    <w:p w14:paraId="3ECDE023" w14:textId="77777777" w:rsidR="0064555E" w:rsidRPr="0064555E" w:rsidRDefault="0064555E" w:rsidP="0064555E">
      <w:pPr>
        <w:rPr>
          <w:sz w:val="28"/>
          <w:szCs w:val="28"/>
        </w:rPr>
      </w:pPr>
    </w:p>
    <w:p w14:paraId="7B1C63A5" w14:textId="77777777" w:rsidR="0064555E" w:rsidRPr="0064555E" w:rsidRDefault="0064555E" w:rsidP="0064555E">
      <w:pPr>
        <w:rPr>
          <w:sz w:val="28"/>
          <w:szCs w:val="28"/>
        </w:rPr>
      </w:pPr>
    </w:p>
    <w:p w14:paraId="0B27B558" w14:textId="77777777" w:rsidR="0064555E" w:rsidRPr="0064555E" w:rsidRDefault="0064555E" w:rsidP="0064555E">
      <w:pPr>
        <w:rPr>
          <w:sz w:val="28"/>
          <w:szCs w:val="28"/>
        </w:rPr>
      </w:pPr>
    </w:p>
    <w:p w14:paraId="0D64A2F3" w14:textId="77777777" w:rsidR="0064555E" w:rsidRPr="0064555E" w:rsidRDefault="0064555E" w:rsidP="0064555E">
      <w:pPr>
        <w:rPr>
          <w:sz w:val="28"/>
          <w:szCs w:val="28"/>
        </w:rPr>
      </w:pPr>
    </w:p>
    <w:p w14:paraId="68CBFDAC" w14:textId="77777777" w:rsidR="0064555E" w:rsidRPr="0064555E" w:rsidRDefault="0064555E" w:rsidP="0064555E">
      <w:pPr>
        <w:rPr>
          <w:sz w:val="28"/>
          <w:szCs w:val="28"/>
        </w:rPr>
      </w:pPr>
    </w:p>
    <w:p w14:paraId="74CF8E91" w14:textId="77777777" w:rsidR="0064555E" w:rsidRPr="0064555E" w:rsidRDefault="0064555E" w:rsidP="0064555E">
      <w:pPr>
        <w:rPr>
          <w:sz w:val="28"/>
          <w:szCs w:val="28"/>
        </w:rPr>
      </w:pPr>
    </w:p>
    <w:p w14:paraId="599D3DC5" w14:textId="77777777" w:rsidR="0064555E" w:rsidRPr="0064555E" w:rsidRDefault="0064555E" w:rsidP="0064555E">
      <w:pPr>
        <w:rPr>
          <w:sz w:val="28"/>
          <w:szCs w:val="28"/>
        </w:rPr>
      </w:pPr>
    </w:p>
    <w:p w14:paraId="00579A64" w14:textId="77777777" w:rsidR="0064555E" w:rsidRPr="0064555E" w:rsidRDefault="0064555E" w:rsidP="0064555E">
      <w:pPr>
        <w:rPr>
          <w:sz w:val="28"/>
          <w:szCs w:val="28"/>
        </w:rPr>
      </w:pPr>
    </w:p>
    <w:p w14:paraId="3BCAB06A" w14:textId="77777777" w:rsidR="0064555E" w:rsidRPr="0064555E" w:rsidRDefault="0064555E" w:rsidP="0064555E">
      <w:pPr>
        <w:rPr>
          <w:sz w:val="28"/>
          <w:szCs w:val="28"/>
        </w:rPr>
      </w:pPr>
    </w:p>
    <w:p w14:paraId="69DEB44A" w14:textId="77777777" w:rsidR="0064555E" w:rsidRPr="0064555E" w:rsidRDefault="0064555E" w:rsidP="0064555E">
      <w:pPr>
        <w:rPr>
          <w:sz w:val="28"/>
          <w:szCs w:val="28"/>
        </w:rPr>
      </w:pPr>
    </w:p>
    <w:p w14:paraId="1FB764AF" w14:textId="77777777" w:rsidR="0064555E" w:rsidRPr="0064555E" w:rsidRDefault="0064555E" w:rsidP="0064555E">
      <w:pPr>
        <w:rPr>
          <w:sz w:val="28"/>
          <w:szCs w:val="28"/>
        </w:rPr>
      </w:pPr>
    </w:p>
    <w:p w14:paraId="599E5355" w14:textId="77777777" w:rsidR="0064555E" w:rsidRPr="0064555E" w:rsidRDefault="0064555E" w:rsidP="0064555E">
      <w:pPr>
        <w:rPr>
          <w:sz w:val="28"/>
          <w:szCs w:val="28"/>
        </w:rPr>
      </w:pPr>
    </w:p>
    <w:p w14:paraId="29EFC1D7" w14:textId="77777777" w:rsidR="0064555E" w:rsidRPr="0064555E" w:rsidRDefault="0064555E" w:rsidP="0064555E">
      <w:pPr>
        <w:rPr>
          <w:sz w:val="28"/>
          <w:szCs w:val="28"/>
        </w:rPr>
      </w:pPr>
    </w:p>
    <w:p w14:paraId="6DEC2666" w14:textId="77777777" w:rsidR="0064555E" w:rsidRPr="0064555E" w:rsidRDefault="0064555E" w:rsidP="0064555E">
      <w:pPr>
        <w:rPr>
          <w:sz w:val="28"/>
          <w:szCs w:val="28"/>
        </w:rPr>
      </w:pPr>
    </w:p>
    <w:p w14:paraId="178A1A55" w14:textId="77777777" w:rsidR="0064555E" w:rsidRPr="0064555E" w:rsidRDefault="0064555E" w:rsidP="0064555E">
      <w:pPr>
        <w:rPr>
          <w:sz w:val="28"/>
          <w:szCs w:val="28"/>
        </w:rPr>
      </w:pPr>
    </w:p>
    <w:p w14:paraId="115CBFFC" w14:textId="2E3DE9D5" w:rsidR="009A2E5F" w:rsidRDefault="009A2E5F" w:rsidP="0064555E">
      <w:pPr>
        <w:rPr>
          <w:sz w:val="28"/>
          <w:szCs w:val="28"/>
        </w:rPr>
      </w:pPr>
    </w:p>
    <w:p w14:paraId="18406E91" w14:textId="7ADE7083" w:rsidR="009A2E5F" w:rsidRDefault="009A2E5F" w:rsidP="0064555E">
      <w:pPr>
        <w:rPr>
          <w:sz w:val="28"/>
          <w:szCs w:val="28"/>
        </w:rPr>
      </w:pPr>
    </w:p>
    <w:p w14:paraId="428F4880" w14:textId="0DDD3A88" w:rsidR="009A2E5F" w:rsidRDefault="009A2E5F" w:rsidP="0064555E">
      <w:pPr>
        <w:rPr>
          <w:sz w:val="28"/>
          <w:szCs w:val="28"/>
        </w:rPr>
      </w:pPr>
    </w:p>
    <w:p w14:paraId="7B1B39B0" w14:textId="77777777" w:rsidR="009A2E5F" w:rsidRPr="0064555E" w:rsidRDefault="009A2E5F" w:rsidP="0064555E">
      <w:pPr>
        <w:rPr>
          <w:sz w:val="28"/>
          <w:szCs w:val="28"/>
        </w:rPr>
      </w:pPr>
    </w:p>
    <w:sectPr w:rsidR="009A2E5F" w:rsidRPr="0064555E" w:rsidSect="009A2E5F">
      <w:headerReference w:type="even" r:id="rId9"/>
      <w:headerReference w:type="default" r:id="rId10"/>
      <w:footerReference w:type="even" r:id="rId11"/>
      <w:footerReference w:type="default" r:id="rId12"/>
      <w:headerReference w:type="first" r:id="rId13"/>
      <w:footerReference w:type="first" r:id="rId14"/>
      <w:pgSz w:w="11900" w:h="16840"/>
      <w:pgMar w:top="1817" w:right="1134" w:bottom="709" w:left="1134" w:header="709" w:footer="8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C55F" w14:textId="77777777" w:rsidR="008A36EE" w:rsidRDefault="008A36EE" w:rsidP="00BF6D67">
      <w:r>
        <w:separator/>
      </w:r>
    </w:p>
  </w:endnote>
  <w:endnote w:type="continuationSeparator" w:id="0">
    <w:p w14:paraId="24F22C02" w14:textId="77777777" w:rsidR="008A36EE" w:rsidRDefault="008A36EE" w:rsidP="00BF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D772" w14:textId="77777777" w:rsidR="00973522" w:rsidRDefault="00973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0A2F" w14:textId="00E6E8A9" w:rsidR="009A2E5F" w:rsidRPr="003177CE" w:rsidRDefault="009A2E5F" w:rsidP="009A2E5F">
    <w:pPr>
      <w:pStyle w:val="Footer"/>
      <w:tabs>
        <w:tab w:val="clear" w:pos="4513"/>
        <w:tab w:val="clear" w:pos="9026"/>
        <w:tab w:val="right" w:pos="9072"/>
      </w:tabs>
      <w:ind w:right="-940"/>
      <w:rPr>
        <w:sz w:val="18"/>
        <w:szCs w:val="18"/>
      </w:rPr>
    </w:pPr>
    <w:r>
      <w:rPr>
        <w:sz w:val="18"/>
        <w:szCs w:val="18"/>
      </w:rPr>
      <w:t>Document Title</w:t>
    </w:r>
    <w:r w:rsidR="00CF54BE">
      <w:t xml:space="preserve">                                                                      </w:t>
    </w:r>
    <w:r w:rsidR="00CF54BE" w:rsidRPr="0057284B">
      <w:t xml:space="preserve">  </w:t>
    </w:r>
    <w:r w:rsidR="00CF54BE">
      <w:t xml:space="preserve">    </w:t>
    </w:r>
    <w:r w:rsidR="00CF54BE" w:rsidRPr="00CF54BE">
      <w:rPr>
        <w:sz w:val="18"/>
      </w:rPr>
      <w:t xml:space="preserve">Page </w:t>
    </w:r>
    <w:r w:rsidR="00CF54BE" w:rsidRPr="00CF54BE">
      <w:rPr>
        <w:bCs/>
        <w:sz w:val="18"/>
      </w:rPr>
      <w:fldChar w:fldCharType="begin"/>
    </w:r>
    <w:r w:rsidR="00CF54BE" w:rsidRPr="00CF54BE">
      <w:rPr>
        <w:bCs/>
        <w:sz w:val="18"/>
      </w:rPr>
      <w:instrText xml:space="preserve"> PAGE </w:instrText>
    </w:r>
    <w:r w:rsidR="00CF54BE" w:rsidRPr="00CF54BE">
      <w:rPr>
        <w:bCs/>
        <w:sz w:val="18"/>
      </w:rPr>
      <w:fldChar w:fldCharType="separate"/>
    </w:r>
    <w:r w:rsidR="00CF54BE">
      <w:rPr>
        <w:bCs/>
        <w:noProof/>
        <w:sz w:val="18"/>
      </w:rPr>
      <w:t>1</w:t>
    </w:r>
    <w:r w:rsidR="00CF54BE" w:rsidRPr="00CF54BE">
      <w:rPr>
        <w:bCs/>
        <w:sz w:val="18"/>
      </w:rPr>
      <w:fldChar w:fldCharType="end"/>
    </w:r>
    <w:r w:rsidR="00CF54BE" w:rsidRPr="00CF54BE">
      <w:rPr>
        <w:sz w:val="18"/>
      </w:rPr>
      <w:t xml:space="preserve"> of </w:t>
    </w:r>
    <w:r w:rsidR="00CF54BE" w:rsidRPr="00CF54BE">
      <w:rPr>
        <w:bCs/>
        <w:sz w:val="18"/>
      </w:rPr>
      <w:fldChar w:fldCharType="begin"/>
    </w:r>
    <w:r w:rsidR="00CF54BE" w:rsidRPr="00CF54BE">
      <w:rPr>
        <w:bCs/>
        <w:sz w:val="18"/>
      </w:rPr>
      <w:instrText xml:space="preserve"> NUMPAGES  </w:instrText>
    </w:r>
    <w:r w:rsidR="00CF54BE" w:rsidRPr="00CF54BE">
      <w:rPr>
        <w:bCs/>
        <w:sz w:val="18"/>
      </w:rPr>
      <w:fldChar w:fldCharType="separate"/>
    </w:r>
    <w:r w:rsidR="00CF54BE">
      <w:rPr>
        <w:bCs/>
        <w:noProof/>
        <w:sz w:val="18"/>
      </w:rPr>
      <w:t>1</w:t>
    </w:r>
    <w:r w:rsidR="00CF54BE" w:rsidRPr="00CF54BE">
      <w:rPr>
        <w:bCs/>
        <w:sz w:val="18"/>
      </w:rPr>
      <w:fldChar w:fldCharType="end"/>
    </w:r>
    <w:r w:rsidR="00973522">
      <w:rPr>
        <w:sz w:val="18"/>
        <w:szCs w:val="18"/>
      </w:rPr>
      <w:tab/>
    </w:r>
  </w:p>
  <w:p w14:paraId="5BE32913" w14:textId="5AB9E044" w:rsidR="0064555E" w:rsidRDefault="009A2E5F" w:rsidP="009A2E5F">
    <w:pPr>
      <w:pStyle w:val="Footer"/>
      <w:rPr>
        <w:sz w:val="18"/>
        <w:szCs w:val="18"/>
      </w:rPr>
    </w:pPr>
    <w:r>
      <w:rPr>
        <w:sz w:val="18"/>
        <w:szCs w:val="18"/>
      </w:rPr>
      <w:t xml:space="preserve">Version No(X) </w:t>
    </w:r>
    <w:r>
      <w:rPr>
        <w:noProof/>
      </w:rPr>
      <mc:AlternateContent>
        <mc:Choice Requires="wps">
          <w:drawing>
            <wp:anchor distT="0" distB="0" distL="114300" distR="114300" simplePos="0" relativeHeight="251660288" behindDoc="1" locked="0" layoutInCell="1" allowOverlap="1" wp14:anchorId="765CC58E" wp14:editId="6013CF32">
              <wp:simplePos x="0" y="0"/>
              <wp:positionH relativeFrom="page">
                <wp:posOffset>6676390</wp:posOffset>
              </wp:positionH>
              <wp:positionV relativeFrom="page">
                <wp:posOffset>9890125</wp:posOffset>
              </wp:positionV>
              <wp:extent cx="205740" cy="15811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B3AA7" w14:textId="77777777" w:rsidR="009A2E5F" w:rsidRDefault="009A2E5F" w:rsidP="009A2E5F">
                          <w:pPr>
                            <w:spacing w:before="21"/>
                            <w:ind w:left="62"/>
                            <w:rPr>
                              <w:sz w:val="18"/>
                            </w:rPr>
                          </w:pPr>
                          <w:r>
                            <w:fldChar w:fldCharType="begin"/>
                          </w:r>
                          <w:r>
                            <w:rPr>
                              <w:sz w:val="18"/>
                            </w:rPr>
                            <w:instrText xml:space="preserve"> PAGE </w:instrText>
                          </w:r>
                          <w:r>
                            <w:fldChar w:fldCharType="separate"/>
                          </w:r>
                          <w:r w:rsidR="00CF54BE">
                            <w:rPr>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CC58E" id="_x0000_t202" coordsize="21600,21600" o:spt="202" path="m,l,21600r21600,l21600,xe">
              <v:stroke joinstyle="miter"/>
              <v:path gradientshapeok="t" o:connecttype="rect"/>
            </v:shapetype>
            <v:shape id="Text Box 8" o:spid="_x0000_s1026" type="#_x0000_t202" style="position:absolute;margin-left:525.7pt;margin-top:778.75pt;width:16.2pt;height:12.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" filled="f" stroked="f">
              <v:textbox inset="0,0,0,0">
                <w:txbxContent>
                  <w:p w14:paraId="0E6B3AA7" w14:textId="77777777" w:rsidR="009A2E5F" w:rsidRDefault="009A2E5F" w:rsidP="009A2E5F">
                    <w:pPr>
                      <w:spacing w:before="21"/>
                      <w:ind w:left="62"/>
                      <w:rPr>
                        <w:sz w:val="18"/>
                      </w:rPr>
                    </w:pPr>
                    <w:r>
                      <w:fldChar w:fldCharType="begin"/>
                    </w:r>
                    <w:r>
                      <w:rPr>
                        <w:sz w:val="18"/>
                      </w:rPr>
                      <w:instrText xml:space="preserve"> PAGE </w:instrText>
                    </w:r>
                    <w:r>
                      <w:fldChar w:fldCharType="separate"/>
                    </w:r>
                    <w:r w:rsidR="00CF54BE">
                      <w:rPr>
                        <w:noProof/>
                        <w:sz w:val="18"/>
                      </w:rPr>
                      <w:t>1</w:t>
                    </w:r>
                    <w:r>
                      <w:fldChar w:fldCharType="end"/>
                    </w:r>
                  </w:p>
                </w:txbxContent>
              </v:textbox>
              <w10:wrap anchorx="page" anchory="page"/>
            </v:shape>
          </w:pict>
        </mc:Fallback>
      </mc:AlternateContent>
    </w:r>
    <w:r>
      <w:rPr>
        <w:sz w:val="18"/>
        <w:szCs w:val="18"/>
      </w:rPr>
      <w:t>Month Ye</w:t>
    </w:r>
    <w:r w:rsidR="00973522" w:rsidRPr="002646EE">
      <w:rPr>
        <w:noProof/>
      </w:rPr>
      <w:drawing>
        <wp:anchor distT="0" distB="0" distL="114300" distR="114300" simplePos="0" relativeHeight="251662336" behindDoc="1" locked="0" layoutInCell="1" allowOverlap="1" wp14:anchorId="27DD8285" wp14:editId="77E4FEC8">
          <wp:simplePos x="0" y="0"/>
          <wp:positionH relativeFrom="column">
            <wp:posOffset>-5291455</wp:posOffset>
          </wp:positionH>
          <wp:positionV relativeFrom="page">
            <wp:posOffset>8813165</wp:posOffset>
          </wp:positionV>
          <wp:extent cx="13008575" cy="219625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008575" cy="2196253"/>
                  </a:xfrm>
                  <a:prstGeom prst="rect">
                    <a:avLst/>
                  </a:prstGeom>
                </pic:spPr>
              </pic:pic>
            </a:graphicData>
          </a:graphic>
          <wp14:sizeRelH relativeFrom="margin">
            <wp14:pctWidth>0</wp14:pctWidth>
          </wp14:sizeRelH>
          <wp14:sizeRelV relativeFrom="margin">
            <wp14:pctHeight>0</wp14:pctHeight>
          </wp14:sizeRelV>
        </wp:anchor>
      </w:drawing>
    </w:r>
    <w:r>
      <w:rPr>
        <w:sz w:val="18"/>
        <w:szCs w:val="18"/>
      </w:rPr>
      <w:t>ar – Month Year</w:t>
    </w:r>
  </w:p>
  <w:p w14:paraId="270F3006" w14:textId="77777777" w:rsidR="00973522" w:rsidRPr="009A2E5F" w:rsidRDefault="00973522" w:rsidP="009A2E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FFCB" w14:textId="77777777" w:rsidR="00973522" w:rsidRDefault="00973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31EC" w14:textId="77777777" w:rsidR="008A36EE" w:rsidRDefault="008A36EE" w:rsidP="00BF6D67">
      <w:r>
        <w:separator/>
      </w:r>
    </w:p>
  </w:footnote>
  <w:footnote w:type="continuationSeparator" w:id="0">
    <w:p w14:paraId="0A28547D" w14:textId="77777777" w:rsidR="008A36EE" w:rsidRDefault="008A36EE" w:rsidP="00BF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2FF9" w14:textId="77777777" w:rsidR="00973522" w:rsidRDefault="00973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4C57" w14:textId="0C6C8571" w:rsidR="00984F7E" w:rsidRDefault="009A2E5F">
    <w:pPr>
      <w:pStyle w:val="Header"/>
    </w:pPr>
    <w:r>
      <w:rPr>
        <w:noProof/>
      </w:rPr>
      <w:drawing>
        <wp:anchor distT="0" distB="0" distL="114300" distR="114300" simplePos="0" relativeHeight="251658240" behindDoc="0" locked="0" layoutInCell="1" allowOverlap="1" wp14:anchorId="0B3E6172" wp14:editId="0A679C5A">
          <wp:simplePos x="0" y="0"/>
          <wp:positionH relativeFrom="margin">
            <wp:posOffset>4690110</wp:posOffset>
          </wp:positionH>
          <wp:positionV relativeFrom="page">
            <wp:posOffset>238125</wp:posOffset>
          </wp:positionV>
          <wp:extent cx="1710055" cy="731520"/>
          <wp:effectExtent l="0" t="0" r="4445" b="0"/>
          <wp:wrapSquare wrapText="bothSides"/>
          <wp:docPr id="23" name="Picture 23" descr="C:\Users\mboulton\AppData\Local\Microsoft\Windows\Temporary Internet Files\Content.Word\Trust logo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ulton\AppData\Local\Microsoft\Windows\Temporary Internet Files\Content.Word\Trust logo 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005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F7E" w:rsidRPr="004E4DB4">
      <w:rPr>
        <w:noProof/>
      </w:rPr>
      <w:drawing>
        <wp:anchor distT="0" distB="0" distL="114300" distR="114300" simplePos="0" relativeHeight="251657216" behindDoc="1" locked="0" layoutInCell="1" allowOverlap="1" wp14:anchorId="5B6FFA75" wp14:editId="32523FE8">
          <wp:simplePos x="0" y="0"/>
          <wp:positionH relativeFrom="column">
            <wp:posOffset>-449580</wp:posOffset>
          </wp:positionH>
          <wp:positionV relativeFrom="page">
            <wp:posOffset>87941</wp:posOffset>
          </wp:positionV>
          <wp:extent cx="1515600" cy="903600"/>
          <wp:effectExtent l="0" t="0" r="889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156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5475" w14:textId="77777777" w:rsidR="00973522" w:rsidRDefault="00973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A8C"/>
    <w:multiLevelType w:val="hybridMultilevel"/>
    <w:tmpl w:val="07E6726C"/>
    <w:lvl w:ilvl="0" w:tplc="25DA7B20">
      <w:start w:val="1"/>
      <w:numFmt w:val="decimal"/>
      <w:lvlText w:val="%1."/>
      <w:lvlJc w:val="left"/>
      <w:pPr>
        <w:tabs>
          <w:tab w:val="num" w:pos="720"/>
        </w:tabs>
        <w:ind w:left="720" w:hanging="360"/>
      </w:pPr>
      <w:rPr>
        <w:rFonts w:asciiTheme="minorHAnsi" w:hAnsiTheme="minorHAnsi" w:cstheme="minorHAnsi" w:hint="default"/>
        <w:b w:val="0"/>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D0BC3"/>
    <w:multiLevelType w:val="hybridMultilevel"/>
    <w:tmpl w:val="F00E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43A48"/>
    <w:multiLevelType w:val="hybridMultilevel"/>
    <w:tmpl w:val="4AC03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33B0D"/>
    <w:multiLevelType w:val="hybridMultilevel"/>
    <w:tmpl w:val="A364AD12"/>
    <w:lvl w:ilvl="0" w:tplc="922ABEC2">
      <w:start w:val="1"/>
      <w:numFmt w:val="decimal"/>
      <w:lvlText w:val="%1."/>
      <w:lvlJc w:val="left"/>
      <w:pPr>
        <w:ind w:left="360" w:hanging="360"/>
      </w:pPr>
      <w:rPr>
        <w:rFonts w:hint="default"/>
        <w:b/>
        <w:color w:val="0072C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F1019"/>
    <w:multiLevelType w:val="multilevel"/>
    <w:tmpl w:val="4B36C61A"/>
    <w:lvl w:ilvl="0">
      <w:start w:val="1"/>
      <w:numFmt w:val="bullet"/>
      <w:lvlText w:val=""/>
      <w:lvlJc w:val="left"/>
      <w:pPr>
        <w:ind w:left="28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7E4A69"/>
    <w:multiLevelType w:val="hybridMultilevel"/>
    <w:tmpl w:val="1AB608CC"/>
    <w:lvl w:ilvl="0" w:tplc="4D24D0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0C7DA1"/>
    <w:multiLevelType w:val="hybridMultilevel"/>
    <w:tmpl w:val="A128F924"/>
    <w:lvl w:ilvl="0" w:tplc="11D69ECC">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54536D"/>
    <w:multiLevelType w:val="multilevel"/>
    <w:tmpl w:val="74E2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145C4"/>
    <w:multiLevelType w:val="hybridMultilevel"/>
    <w:tmpl w:val="73A60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31059A"/>
    <w:multiLevelType w:val="hybridMultilevel"/>
    <w:tmpl w:val="0F1A9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C0CB7"/>
    <w:multiLevelType w:val="hybridMultilevel"/>
    <w:tmpl w:val="63542862"/>
    <w:lvl w:ilvl="0" w:tplc="A88471A0">
      <w:start w:val="1"/>
      <w:numFmt w:val="bullet"/>
      <w:pStyle w:val="BlueBulletList"/>
      <w:lvlText w:val=""/>
      <w:lvlJc w:val="left"/>
      <w:pPr>
        <w:ind w:left="284" w:hanging="284"/>
      </w:pPr>
      <w:rPr>
        <w:rFonts w:ascii="Symbol" w:hAnsi="Symbol" w:hint="default"/>
        <w:color w:val="0072C6"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A30B4"/>
    <w:multiLevelType w:val="multilevel"/>
    <w:tmpl w:val="DBF8756A"/>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C743218"/>
    <w:multiLevelType w:val="multilevel"/>
    <w:tmpl w:val="1792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E0421F"/>
    <w:multiLevelType w:val="hybridMultilevel"/>
    <w:tmpl w:val="DDBC0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00DF7"/>
    <w:multiLevelType w:val="hybridMultilevel"/>
    <w:tmpl w:val="E4B6BF10"/>
    <w:lvl w:ilvl="0" w:tplc="CBA888F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5905D7"/>
    <w:multiLevelType w:val="hybridMultilevel"/>
    <w:tmpl w:val="F656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AF44A2"/>
    <w:multiLevelType w:val="multilevel"/>
    <w:tmpl w:val="7886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66D00"/>
    <w:multiLevelType w:val="multilevel"/>
    <w:tmpl w:val="D1C628D0"/>
    <w:lvl w:ilvl="0">
      <w:start w:val="1"/>
      <w:numFmt w:val="decimal"/>
      <w:pStyle w:val="ReportBullet1"/>
      <w:lvlText w:val="%1."/>
      <w:lvlJc w:val="left"/>
      <w:pPr>
        <w:tabs>
          <w:tab w:val="num" w:pos="360"/>
        </w:tabs>
        <w:ind w:left="360" w:hanging="360"/>
      </w:pPr>
      <w:rPr>
        <w:rFonts w:ascii="Arial" w:hAnsi="Arial" w:cs="Arial" w:hint="default"/>
        <w:b/>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E146D23"/>
    <w:multiLevelType w:val="multilevel"/>
    <w:tmpl w:val="2D9E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7017E"/>
    <w:multiLevelType w:val="multilevel"/>
    <w:tmpl w:val="ED26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BE3610"/>
    <w:multiLevelType w:val="multilevel"/>
    <w:tmpl w:val="78AC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3E5ADF"/>
    <w:multiLevelType w:val="multilevel"/>
    <w:tmpl w:val="DD6C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4102A0"/>
    <w:multiLevelType w:val="hybridMultilevel"/>
    <w:tmpl w:val="D21C23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C7E6369"/>
    <w:multiLevelType w:val="multilevel"/>
    <w:tmpl w:val="DA3E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F1790E"/>
    <w:multiLevelType w:val="hybridMultilevel"/>
    <w:tmpl w:val="BE66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114BA4"/>
    <w:multiLevelType w:val="hybridMultilevel"/>
    <w:tmpl w:val="3AF07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7A7281"/>
    <w:multiLevelType w:val="hybridMultilevel"/>
    <w:tmpl w:val="264EC01E"/>
    <w:lvl w:ilvl="0" w:tplc="CD5028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316C8D"/>
    <w:multiLevelType w:val="hybridMultilevel"/>
    <w:tmpl w:val="4B36C61A"/>
    <w:lvl w:ilvl="0" w:tplc="E6306638">
      <w:start w:val="1"/>
      <w:numFmt w:val="bullet"/>
      <w:lvlText w:val=""/>
      <w:lvlJc w:val="left"/>
      <w:pPr>
        <w:ind w:left="284"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466C03"/>
    <w:multiLevelType w:val="hybridMultilevel"/>
    <w:tmpl w:val="1DCE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7C3B64"/>
    <w:multiLevelType w:val="multilevel"/>
    <w:tmpl w:val="6090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102464">
    <w:abstractNumId w:val="1"/>
  </w:num>
  <w:num w:numId="2" w16cid:durableId="750346275">
    <w:abstractNumId w:val="25"/>
  </w:num>
  <w:num w:numId="3" w16cid:durableId="1714841218">
    <w:abstractNumId w:val="27"/>
  </w:num>
  <w:num w:numId="4" w16cid:durableId="1188762989">
    <w:abstractNumId w:val="4"/>
  </w:num>
  <w:num w:numId="5" w16cid:durableId="861436772">
    <w:abstractNumId w:val="10"/>
  </w:num>
  <w:num w:numId="6" w16cid:durableId="205721248">
    <w:abstractNumId w:val="22"/>
  </w:num>
  <w:num w:numId="7" w16cid:durableId="2083790549">
    <w:abstractNumId w:val="0"/>
  </w:num>
  <w:num w:numId="8" w16cid:durableId="1151871045">
    <w:abstractNumId w:val="17"/>
  </w:num>
  <w:num w:numId="9" w16cid:durableId="1889563508">
    <w:abstractNumId w:val="14"/>
  </w:num>
  <w:num w:numId="10" w16cid:durableId="1761366439">
    <w:abstractNumId w:val="11"/>
  </w:num>
  <w:num w:numId="11" w16cid:durableId="140273802">
    <w:abstractNumId w:val="26"/>
  </w:num>
  <w:num w:numId="12" w16cid:durableId="52654544">
    <w:abstractNumId w:val="3"/>
  </w:num>
  <w:num w:numId="13" w16cid:durableId="219630301">
    <w:abstractNumId w:val="2"/>
  </w:num>
  <w:num w:numId="14" w16cid:durableId="1198854947">
    <w:abstractNumId w:val="8"/>
  </w:num>
  <w:num w:numId="15" w16cid:durableId="922422387">
    <w:abstractNumId w:val="28"/>
  </w:num>
  <w:num w:numId="16" w16cid:durableId="2013989696">
    <w:abstractNumId w:val="10"/>
  </w:num>
  <w:num w:numId="17" w16cid:durableId="428089215">
    <w:abstractNumId w:val="17"/>
  </w:num>
  <w:num w:numId="18" w16cid:durableId="1529181282">
    <w:abstractNumId w:val="9"/>
  </w:num>
  <w:num w:numId="19" w16cid:durableId="818502418">
    <w:abstractNumId w:val="5"/>
  </w:num>
  <w:num w:numId="20" w16cid:durableId="996608924">
    <w:abstractNumId w:val="15"/>
  </w:num>
  <w:num w:numId="21" w16cid:durableId="1327901056">
    <w:abstractNumId w:val="24"/>
  </w:num>
  <w:num w:numId="22" w16cid:durableId="1710909784">
    <w:abstractNumId w:val="6"/>
  </w:num>
  <w:num w:numId="23" w16cid:durableId="268857575">
    <w:abstractNumId w:val="13"/>
  </w:num>
  <w:num w:numId="24" w16cid:durableId="615676481">
    <w:abstractNumId w:val="29"/>
  </w:num>
  <w:num w:numId="25" w16cid:durableId="467554130">
    <w:abstractNumId w:val="19"/>
  </w:num>
  <w:num w:numId="26" w16cid:durableId="1246065660">
    <w:abstractNumId w:val="16"/>
  </w:num>
  <w:num w:numId="27" w16cid:durableId="863832814">
    <w:abstractNumId w:val="12"/>
  </w:num>
  <w:num w:numId="28" w16cid:durableId="1185945612">
    <w:abstractNumId w:val="21"/>
  </w:num>
  <w:num w:numId="29" w16cid:durableId="1513229342">
    <w:abstractNumId w:val="23"/>
  </w:num>
  <w:num w:numId="30" w16cid:durableId="568463817">
    <w:abstractNumId w:val="7"/>
  </w:num>
  <w:num w:numId="31" w16cid:durableId="1383824477">
    <w:abstractNumId w:val="20"/>
  </w:num>
  <w:num w:numId="32" w16cid:durableId="16374911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ocumentProtection w:edit="forms" w:enforcement="0"/>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56"/>
    <w:rsid w:val="000133A8"/>
    <w:rsid w:val="00024843"/>
    <w:rsid w:val="0003144F"/>
    <w:rsid w:val="00060B64"/>
    <w:rsid w:val="00064D05"/>
    <w:rsid w:val="00087589"/>
    <w:rsid w:val="000908C9"/>
    <w:rsid w:val="00091735"/>
    <w:rsid w:val="0009228F"/>
    <w:rsid w:val="00092AF2"/>
    <w:rsid w:val="00093ABC"/>
    <w:rsid w:val="000975EA"/>
    <w:rsid w:val="000B1AF3"/>
    <w:rsid w:val="000B7017"/>
    <w:rsid w:val="000C5EAD"/>
    <w:rsid w:val="000D52C8"/>
    <w:rsid w:val="000E3C89"/>
    <w:rsid w:val="000F0A53"/>
    <w:rsid w:val="00114A02"/>
    <w:rsid w:val="00127031"/>
    <w:rsid w:val="001319D5"/>
    <w:rsid w:val="00157609"/>
    <w:rsid w:val="001737B4"/>
    <w:rsid w:val="001819B8"/>
    <w:rsid w:val="00196FB5"/>
    <w:rsid w:val="001A1B28"/>
    <w:rsid w:val="001B3092"/>
    <w:rsid w:val="001C01D6"/>
    <w:rsid w:val="001C3B49"/>
    <w:rsid w:val="001D5349"/>
    <w:rsid w:val="001F4356"/>
    <w:rsid w:val="00203BA1"/>
    <w:rsid w:val="002303BC"/>
    <w:rsid w:val="002307E5"/>
    <w:rsid w:val="00231C24"/>
    <w:rsid w:val="0024445B"/>
    <w:rsid w:val="0027512D"/>
    <w:rsid w:val="00297DA2"/>
    <w:rsid w:val="002C1489"/>
    <w:rsid w:val="002E053B"/>
    <w:rsid w:val="00301747"/>
    <w:rsid w:val="00323B6D"/>
    <w:rsid w:val="00376185"/>
    <w:rsid w:val="00386D79"/>
    <w:rsid w:val="003A1CEA"/>
    <w:rsid w:val="003F4DAA"/>
    <w:rsid w:val="00401081"/>
    <w:rsid w:val="00403A98"/>
    <w:rsid w:val="00422E6D"/>
    <w:rsid w:val="00456081"/>
    <w:rsid w:val="004C05FD"/>
    <w:rsid w:val="004D5DB5"/>
    <w:rsid w:val="004D7442"/>
    <w:rsid w:val="004E6DDF"/>
    <w:rsid w:val="004F2578"/>
    <w:rsid w:val="00542528"/>
    <w:rsid w:val="00551BBE"/>
    <w:rsid w:val="00555437"/>
    <w:rsid w:val="00560CD1"/>
    <w:rsid w:val="00562420"/>
    <w:rsid w:val="00577F40"/>
    <w:rsid w:val="0058389F"/>
    <w:rsid w:val="00586536"/>
    <w:rsid w:val="005A4B90"/>
    <w:rsid w:val="005B4516"/>
    <w:rsid w:val="005C39FE"/>
    <w:rsid w:val="005E14B1"/>
    <w:rsid w:val="005F002B"/>
    <w:rsid w:val="005F069E"/>
    <w:rsid w:val="005F172E"/>
    <w:rsid w:val="005F32CE"/>
    <w:rsid w:val="005F3427"/>
    <w:rsid w:val="00604C43"/>
    <w:rsid w:val="00621FD9"/>
    <w:rsid w:val="0064555E"/>
    <w:rsid w:val="006458BB"/>
    <w:rsid w:val="00645F1B"/>
    <w:rsid w:val="006477F4"/>
    <w:rsid w:val="0065176F"/>
    <w:rsid w:val="00674124"/>
    <w:rsid w:val="00674DC9"/>
    <w:rsid w:val="00694720"/>
    <w:rsid w:val="006A6C79"/>
    <w:rsid w:val="006B3B90"/>
    <w:rsid w:val="006B3F80"/>
    <w:rsid w:val="006C6C12"/>
    <w:rsid w:val="006C7BF3"/>
    <w:rsid w:val="006D3175"/>
    <w:rsid w:val="006D71C6"/>
    <w:rsid w:val="006E6A3D"/>
    <w:rsid w:val="006F11C0"/>
    <w:rsid w:val="006F7244"/>
    <w:rsid w:val="00702F41"/>
    <w:rsid w:val="00720259"/>
    <w:rsid w:val="00726CD3"/>
    <w:rsid w:val="00731C14"/>
    <w:rsid w:val="007367CD"/>
    <w:rsid w:val="007450EE"/>
    <w:rsid w:val="0075044A"/>
    <w:rsid w:val="00763835"/>
    <w:rsid w:val="00764F68"/>
    <w:rsid w:val="00773454"/>
    <w:rsid w:val="0077563C"/>
    <w:rsid w:val="00782021"/>
    <w:rsid w:val="007857C8"/>
    <w:rsid w:val="007A3724"/>
    <w:rsid w:val="007B2E3B"/>
    <w:rsid w:val="007C2601"/>
    <w:rsid w:val="0081095D"/>
    <w:rsid w:val="00810C51"/>
    <w:rsid w:val="008239B5"/>
    <w:rsid w:val="00835E13"/>
    <w:rsid w:val="00846C56"/>
    <w:rsid w:val="00890DB7"/>
    <w:rsid w:val="008A36EE"/>
    <w:rsid w:val="008B3C4E"/>
    <w:rsid w:val="008B57B6"/>
    <w:rsid w:val="008C0F51"/>
    <w:rsid w:val="008F06DB"/>
    <w:rsid w:val="008F3B4F"/>
    <w:rsid w:val="008F5FB2"/>
    <w:rsid w:val="00901F72"/>
    <w:rsid w:val="00911880"/>
    <w:rsid w:val="00915555"/>
    <w:rsid w:val="0091793F"/>
    <w:rsid w:val="00923087"/>
    <w:rsid w:val="009232F6"/>
    <w:rsid w:val="0092332A"/>
    <w:rsid w:val="00930AFA"/>
    <w:rsid w:val="00946AF5"/>
    <w:rsid w:val="00952756"/>
    <w:rsid w:val="00973522"/>
    <w:rsid w:val="00984F7E"/>
    <w:rsid w:val="009A2E5F"/>
    <w:rsid w:val="009C40FC"/>
    <w:rsid w:val="009E0EFD"/>
    <w:rsid w:val="009E19D3"/>
    <w:rsid w:val="009E6D59"/>
    <w:rsid w:val="009F610C"/>
    <w:rsid w:val="00A4714D"/>
    <w:rsid w:val="00A50B05"/>
    <w:rsid w:val="00A51371"/>
    <w:rsid w:val="00A87E0A"/>
    <w:rsid w:val="00A941CE"/>
    <w:rsid w:val="00AA79ED"/>
    <w:rsid w:val="00AE48EB"/>
    <w:rsid w:val="00AF1FB5"/>
    <w:rsid w:val="00B21636"/>
    <w:rsid w:val="00B22598"/>
    <w:rsid w:val="00B31807"/>
    <w:rsid w:val="00B32E71"/>
    <w:rsid w:val="00B370D6"/>
    <w:rsid w:val="00B47AC1"/>
    <w:rsid w:val="00BA511C"/>
    <w:rsid w:val="00BC15FC"/>
    <w:rsid w:val="00BC3867"/>
    <w:rsid w:val="00BD5F1F"/>
    <w:rsid w:val="00BF00DA"/>
    <w:rsid w:val="00BF3028"/>
    <w:rsid w:val="00BF6D67"/>
    <w:rsid w:val="00C10D09"/>
    <w:rsid w:val="00C2642D"/>
    <w:rsid w:val="00C3424E"/>
    <w:rsid w:val="00C360D7"/>
    <w:rsid w:val="00C446F5"/>
    <w:rsid w:val="00C57FE8"/>
    <w:rsid w:val="00C678E4"/>
    <w:rsid w:val="00C75C79"/>
    <w:rsid w:val="00C85A39"/>
    <w:rsid w:val="00CD1312"/>
    <w:rsid w:val="00CE2CA6"/>
    <w:rsid w:val="00CF54BE"/>
    <w:rsid w:val="00D22D48"/>
    <w:rsid w:val="00D25CD1"/>
    <w:rsid w:val="00D26A48"/>
    <w:rsid w:val="00D553A7"/>
    <w:rsid w:val="00D71A7A"/>
    <w:rsid w:val="00D931AA"/>
    <w:rsid w:val="00D96481"/>
    <w:rsid w:val="00DC2C92"/>
    <w:rsid w:val="00DC465B"/>
    <w:rsid w:val="00DD33BD"/>
    <w:rsid w:val="00DE573A"/>
    <w:rsid w:val="00DF571E"/>
    <w:rsid w:val="00DF76C1"/>
    <w:rsid w:val="00E14496"/>
    <w:rsid w:val="00E33D14"/>
    <w:rsid w:val="00E452E1"/>
    <w:rsid w:val="00E679EC"/>
    <w:rsid w:val="00E71792"/>
    <w:rsid w:val="00E74D8B"/>
    <w:rsid w:val="00E84A76"/>
    <w:rsid w:val="00E85840"/>
    <w:rsid w:val="00E9646E"/>
    <w:rsid w:val="00ED3E5A"/>
    <w:rsid w:val="00EF2053"/>
    <w:rsid w:val="00EF7F88"/>
    <w:rsid w:val="00F12DF1"/>
    <w:rsid w:val="00F20436"/>
    <w:rsid w:val="00F23378"/>
    <w:rsid w:val="00F375BD"/>
    <w:rsid w:val="00F411D2"/>
    <w:rsid w:val="00F567F4"/>
    <w:rsid w:val="00F63FC2"/>
    <w:rsid w:val="00F71644"/>
    <w:rsid w:val="00F80F12"/>
    <w:rsid w:val="00F86319"/>
    <w:rsid w:val="00F9112E"/>
    <w:rsid w:val="00FC1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B808C"/>
  <w15:docId w15:val="{0B6EDC0A-DEE2-4A90-A745-97876557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B49"/>
    <w:pPr>
      <w:contextualSpacing/>
    </w:pPr>
    <w:rPr>
      <w:rFonts w:ascii="Arial" w:hAnsi="Arial" w:cs="Arial"/>
      <w:sz w:val="24"/>
      <w:szCs w:val="22"/>
    </w:rPr>
  </w:style>
  <w:style w:type="paragraph" w:styleId="Heading1">
    <w:name w:val="heading 1"/>
    <w:basedOn w:val="Normal"/>
    <w:next w:val="Normal"/>
    <w:link w:val="Heading1Char"/>
    <w:uiPriority w:val="9"/>
    <w:qFormat/>
    <w:rsid w:val="00890DB7"/>
    <w:pPr>
      <w:outlineLvl w:val="0"/>
    </w:pPr>
    <w:rPr>
      <w:color w:val="0072C6"/>
      <w:sz w:val="48"/>
      <w:szCs w:val="48"/>
    </w:rPr>
  </w:style>
  <w:style w:type="paragraph" w:styleId="Heading2">
    <w:name w:val="heading 2"/>
    <w:aliases w:val="Table Heading"/>
    <w:basedOn w:val="Normal"/>
    <w:next w:val="Normal"/>
    <w:link w:val="Heading2Char"/>
    <w:uiPriority w:val="9"/>
    <w:unhideWhenUsed/>
    <w:qFormat/>
    <w:rsid w:val="00890DB7"/>
    <w:pPr>
      <w:outlineLvl w:val="1"/>
    </w:pPr>
    <w:rPr>
      <w:b/>
      <w:color w:val="0072C6"/>
      <w:sz w:val="18"/>
      <w:szCs w:val="18"/>
    </w:rPr>
  </w:style>
  <w:style w:type="paragraph" w:styleId="Heading3">
    <w:name w:val="heading 3"/>
    <w:aliases w:val="Front Page heading"/>
    <w:basedOn w:val="Heading1"/>
    <w:next w:val="Normal"/>
    <w:link w:val="Heading3Char"/>
    <w:uiPriority w:val="9"/>
    <w:unhideWhenUsed/>
    <w:qFormat/>
    <w:rsid w:val="00890DB7"/>
    <w:pPr>
      <w:outlineLvl w:val="2"/>
    </w:pPr>
    <w:rPr>
      <w:b/>
      <w:sz w:val="56"/>
      <w:szCs w:val="56"/>
    </w:rPr>
  </w:style>
  <w:style w:type="paragraph" w:styleId="Heading4">
    <w:name w:val="heading 4"/>
    <w:basedOn w:val="Normal"/>
    <w:next w:val="Normal"/>
    <w:link w:val="Heading4Char"/>
    <w:uiPriority w:val="9"/>
    <w:semiHidden/>
    <w:unhideWhenUsed/>
    <w:rsid w:val="00F375BD"/>
    <w:pPr>
      <w:keepNext/>
      <w:keepLines/>
      <w:spacing w:before="40"/>
      <w:outlineLvl w:val="3"/>
    </w:pPr>
    <w:rPr>
      <w:rFonts w:asciiTheme="majorHAnsi" w:eastAsiaTheme="majorEastAsia" w:hAnsiTheme="majorHAnsi" w:cstheme="majorBidi"/>
      <w:i/>
      <w:iCs/>
      <w:color w:val="438E1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436"/>
    <w:pPr>
      <w:tabs>
        <w:tab w:val="center" w:pos="4513"/>
        <w:tab w:val="right" w:pos="9026"/>
      </w:tabs>
    </w:pPr>
  </w:style>
  <w:style w:type="character" w:customStyle="1" w:styleId="HeaderChar">
    <w:name w:val="Header Char"/>
    <w:basedOn w:val="DefaultParagraphFont"/>
    <w:link w:val="Header"/>
    <w:uiPriority w:val="99"/>
    <w:rsid w:val="00F20436"/>
  </w:style>
  <w:style w:type="paragraph" w:styleId="Footer">
    <w:name w:val="footer"/>
    <w:basedOn w:val="Normal"/>
    <w:link w:val="FooterChar"/>
    <w:uiPriority w:val="99"/>
    <w:unhideWhenUsed/>
    <w:rsid w:val="00F20436"/>
    <w:pPr>
      <w:tabs>
        <w:tab w:val="center" w:pos="4513"/>
        <w:tab w:val="right" w:pos="9026"/>
      </w:tabs>
    </w:pPr>
  </w:style>
  <w:style w:type="character" w:customStyle="1" w:styleId="FooterChar">
    <w:name w:val="Footer Char"/>
    <w:basedOn w:val="DefaultParagraphFont"/>
    <w:link w:val="Footer"/>
    <w:uiPriority w:val="99"/>
    <w:rsid w:val="00F20436"/>
  </w:style>
  <w:style w:type="table" w:styleId="TableGrid">
    <w:name w:val="Table Grid"/>
    <w:basedOn w:val="TableNormal"/>
    <w:rsid w:val="0083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rmal 9pt"/>
    <w:basedOn w:val="Normal"/>
    <w:uiPriority w:val="1"/>
    <w:qFormat/>
    <w:rsid w:val="00890DB7"/>
    <w:rPr>
      <w:sz w:val="18"/>
      <w:szCs w:val="18"/>
    </w:rPr>
  </w:style>
  <w:style w:type="character" w:customStyle="1" w:styleId="Heading1Char">
    <w:name w:val="Heading 1 Char"/>
    <w:link w:val="Heading1"/>
    <w:uiPriority w:val="9"/>
    <w:rsid w:val="00890DB7"/>
    <w:rPr>
      <w:rFonts w:ascii="Arial" w:hAnsi="Arial" w:cs="Arial"/>
      <w:color w:val="0072C6"/>
      <w:sz w:val="48"/>
      <w:szCs w:val="48"/>
    </w:rPr>
  </w:style>
  <w:style w:type="character" w:customStyle="1" w:styleId="Heading2Char">
    <w:name w:val="Heading 2 Char"/>
    <w:aliases w:val="Table Heading Char"/>
    <w:link w:val="Heading2"/>
    <w:uiPriority w:val="9"/>
    <w:rsid w:val="00890DB7"/>
    <w:rPr>
      <w:rFonts w:ascii="Arial" w:hAnsi="Arial" w:cs="Arial"/>
      <w:b/>
      <w:color w:val="0072C6"/>
      <w:sz w:val="18"/>
      <w:szCs w:val="18"/>
    </w:rPr>
  </w:style>
  <w:style w:type="character" w:customStyle="1" w:styleId="Heading3Char">
    <w:name w:val="Heading 3 Char"/>
    <w:aliases w:val="Front Page heading Char"/>
    <w:link w:val="Heading3"/>
    <w:uiPriority w:val="9"/>
    <w:rsid w:val="00890DB7"/>
    <w:rPr>
      <w:rFonts w:ascii="Arial" w:hAnsi="Arial" w:cs="Arial"/>
      <w:b/>
      <w:color w:val="0072C6"/>
      <w:sz w:val="56"/>
      <w:szCs w:val="56"/>
    </w:rPr>
  </w:style>
  <w:style w:type="paragraph" w:styleId="ListParagraph">
    <w:name w:val="List Paragraph"/>
    <w:aliases w:val="Numbers,Normal + indent,List Paragraph 1,List Paragraph1"/>
    <w:basedOn w:val="Normal"/>
    <w:link w:val="ListParagraphChar"/>
    <w:uiPriority w:val="34"/>
    <w:qFormat/>
    <w:rsid w:val="00890DB7"/>
    <w:rPr>
      <w:b/>
      <w:color w:val="0072C6" w:themeColor="text2"/>
    </w:rPr>
  </w:style>
  <w:style w:type="paragraph" w:customStyle="1" w:styleId="BlueBulletList">
    <w:name w:val="Blue Bullet List"/>
    <w:basedOn w:val="NoSpacing"/>
    <w:qFormat/>
    <w:rsid w:val="00890DB7"/>
    <w:pPr>
      <w:numPr>
        <w:numId w:val="16"/>
      </w:numPr>
    </w:pPr>
  </w:style>
  <w:style w:type="paragraph" w:styleId="BalloonText">
    <w:name w:val="Balloon Text"/>
    <w:basedOn w:val="Normal"/>
    <w:link w:val="BalloonTextChar"/>
    <w:uiPriority w:val="99"/>
    <w:semiHidden/>
    <w:unhideWhenUsed/>
    <w:rsid w:val="00A87E0A"/>
    <w:rPr>
      <w:rFonts w:ascii="Tahoma" w:hAnsi="Tahoma" w:cs="Tahoma"/>
      <w:sz w:val="16"/>
      <w:szCs w:val="16"/>
    </w:rPr>
  </w:style>
  <w:style w:type="character" w:customStyle="1" w:styleId="BalloonTextChar">
    <w:name w:val="Balloon Text Char"/>
    <w:basedOn w:val="DefaultParagraphFont"/>
    <w:link w:val="BalloonText"/>
    <w:uiPriority w:val="99"/>
    <w:semiHidden/>
    <w:rsid w:val="00A87E0A"/>
    <w:rPr>
      <w:rFonts w:ascii="Tahoma" w:hAnsi="Tahoma" w:cs="Tahoma"/>
      <w:color w:val="39545A"/>
      <w:sz w:val="16"/>
      <w:szCs w:val="16"/>
    </w:rPr>
  </w:style>
  <w:style w:type="paragraph" w:styleId="NormalWeb">
    <w:name w:val="Normal (Web)"/>
    <w:basedOn w:val="Normal"/>
    <w:uiPriority w:val="99"/>
    <w:semiHidden/>
    <w:unhideWhenUsed/>
    <w:rsid w:val="00A87E0A"/>
    <w:pPr>
      <w:spacing w:before="100" w:beforeAutospacing="1" w:after="100" w:afterAutospacing="1"/>
    </w:pPr>
    <w:rPr>
      <w:rFonts w:ascii="Times New Roman" w:eastAsiaTheme="minorEastAsia" w:hAnsi="Times New Roman" w:cs="Times New Roman"/>
      <w:szCs w:val="24"/>
    </w:rPr>
  </w:style>
  <w:style w:type="paragraph" w:customStyle="1" w:styleId="ReportLetter">
    <w:name w:val="Report Letter"/>
    <w:basedOn w:val="Normal"/>
    <w:qFormat/>
    <w:rsid w:val="00890DB7"/>
    <w:pPr>
      <w:jc w:val="center"/>
    </w:pPr>
    <w:rPr>
      <w:rFonts w:eastAsia="Times New Roman"/>
      <w:b/>
      <w:sz w:val="144"/>
      <w:szCs w:val="144"/>
    </w:rPr>
  </w:style>
  <w:style w:type="paragraph" w:customStyle="1" w:styleId="ReportHeader1">
    <w:name w:val="Report Header 1"/>
    <w:basedOn w:val="Normal"/>
    <w:qFormat/>
    <w:rsid w:val="00890DB7"/>
    <w:pPr>
      <w:keepLines/>
      <w:framePr w:hSpace="181" w:wrap="around" w:vAnchor="text" w:hAnchor="margin" w:xAlign="center" w:y="1796"/>
      <w:suppressOverlap/>
    </w:pPr>
    <w:rPr>
      <w:rFonts w:eastAsia="Times New Roman"/>
      <w:b/>
      <w:sz w:val="28"/>
      <w:szCs w:val="28"/>
    </w:rPr>
  </w:style>
  <w:style w:type="character" w:styleId="Hyperlink">
    <w:name w:val="Hyperlink"/>
    <w:basedOn w:val="DefaultParagraphFont"/>
    <w:uiPriority w:val="99"/>
    <w:unhideWhenUsed/>
    <w:rsid w:val="00C10D09"/>
    <w:rPr>
      <w:color w:val="0072C6" w:themeColor="hyperlink"/>
      <w:u w:val="single"/>
    </w:rPr>
  </w:style>
  <w:style w:type="paragraph" w:customStyle="1" w:styleId="Default">
    <w:name w:val="Default"/>
    <w:rsid w:val="00C10D09"/>
    <w:pPr>
      <w:autoSpaceDE w:val="0"/>
      <w:autoSpaceDN w:val="0"/>
      <w:adjustRightInd w:val="0"/>
    </w:pPr>
    <w:rPr>
      <w:rFonts w:ascii="Arial" w:hAnsi="Arial" w:cs="Arial"/>
      <w:color w:val="000000"/>
      <w:sz w:val="24"/>
      <w:szCs w:val="24"/>
    </w:rPr>
  </w:style>
  <w:style w:type="paragraph" w:customStyle="1" w:styleId="ReportBullet1">
    <w:name w:val="Report Bullet 1"/>
    <w:basedOn w:val="Normal"/>
    <w:qFormat/>
    <w:rsid w:val="00890DB7"/>
    <w:pPr>
      <w:numPr>
        <w:numId w:val="17"/>
      </w:numPr>
    </w:pPr>
    <w:rPr>
      <w:rFonts w:eastAsia="Times New Roman"/>
      <w:b/>
      <w:szCs w:val="24"/>
      <w:u w:val="single"/>
    </w:rPr>
  </w:style>
  <w:style w:type="character" w:styleId="FollowedHyperlink">
    <w:name w:val="FollowedHyperlink"/>
    <w:basedOn w:val="DefaultParagraphFont"/>
    <w:uiPriority w:val="99"/>
    <w:semiHidden/>
    <w:unhideWhenUsed/>
    <w:rsid w:val="00923087"/>
    <w:rPr>
      <w:color w:val="954F72" w:themeColor="followedHyperlink"/>
      <w:u w:val="single"/>
    </w:rPr>
  </w:style>
  <w:style w:type="paragraph" w:styleId="BodyTextIndent3">
    <w:name w:val="Body Text Indent 3"/>
    <w:basedOn w:val="Normal"/>
    <w:link w:val="BodyTextIndent3Char"/>
    <w:rsid w:val="007367CD"/>
    <w:pPr>
      <w:tabs>
        <w:tab w:val="left" w:pos="6435"/>
      </w:tabs>
      <w:ind w:left="360"/>
      <w:jc w:val="both"/>
    </w:pPr>
    <w:rPr>
      <w:rFonts w:eastAsia="Times New Roman"/>
      <w:sz w:val="28"/>
      <w:szCs w:val="24"/>
    </w:rPr>
  </w:style>
  <w:style w:type="character" w:customStyle="1" w:styleId="BodyTextIndent3Char">
    <w:name w:val="Body Text Indent 3 Char"/>
    <w:basedOn w:val="DefaultParagraphFont"/>
    <w:link w:val="BodyTextIndent3"/>
    <w:rsid w:val="007367CD"/>
    <w:rPr>
      <w:rFonts w:ascii="Arial" w:eastAsia="Times New Roman" w:hAnsi="Arial" w:cs="Arial"/>
      <w:sz w:val="28"/>
      <w:szCs w:val="24"/>
      <w:lang w:val="en-GB"/>
    </w:rPr>
  </w:style>
  <w:style w:type="character" w:customStyle="1" w:styleId="ListParagraphChar">
    <w:name w:val="List Paragraph Char"/>
    <w:aliases w:val="Numbers Char,Normal + indent Char,List Paragraph 1 Char,List Paragraph1 Char"/>
    <w:link w:val="ListParagraph"/>
    <w:uiPriority w:val="34"/>
    <w:rsid w:val="005F172E"/>
    <w:rPr>
      <w:rFonts w:ascii="Arial" w:hAnsi="Arial" w:cs="Arial"/>
      <w:b/>
      <w:color w:val="0072C6" w:themeColor="text2"/>
      <w:sz w:val="24"/>
      <w:szCs w:val="22"/>
    </w:rPr>
  </w:style>
  <w:style w:type="character" w:customStyle="1" w:styleId="Heading4Char">
    <w:name w:val="Heading 4 Char"/>
    <w:basedOn w:val="DefaultParagraphFont"/>
    <w:link w:val="Heading4"/>
    <w:uiPriority w:val="9"/>
    <w:semiHidden/>
    <w:rsid w:val="00F375BD"/>
    <w:rPr>
      <w:rFonts w:asciiTheme="majorHAnsi" w:eastAsiaTheme="majorEastAsia" w:hAnsiTheme="majorHAnsi" w:cstheme="majorBidi"/>
      <w:i/>
      <w:iCs/>
      <w:color w:val="438E18" w:themeColor="accent1" w:themeShade="BF"/>
      <w:sz w:val="24"/>
      <w:szCs w:val="22"/>
    </w:rPr>
  </w:style>
  <w:style w:type="paragraph" w:styleId="Title">
    <w:name w:val="Title"/>
    <w:basedOn w:val="Normal"/>
    <w:next w:val="Normal"/>
    <w:link w:val="TitleChar"/>
    <w:uiPriority w:val="10"/>
    <w:qFormat/>
    <w:rsid w:val="00F375BD"/>
    <w:pPr>
      <w:spacing w:after="80"/>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375BD"/>
    <w:rPr>
      <w:rFonts w:asciiTheme="majorHAnsi" w:eastAsiaTheme="majorEastAsia" w:hAnsiTheme="majorHAnsi" w:cstheme="majorBidi"/>
      <w:spacing w:val="-10"/>
      <w:kern w:val="28"/>
      <w:sz w:val="56"/>
      <w:szCs w:val="5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8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arn\Downloads\York%20Hospital%20NHS%20Report.dotx" TargetMode="External"/></Relationships>
</file>

<file path=word/theme/theme1.xml><?xml version="1.0" encoding="utf-8"?>
<a:theme xmlns:a="http://schemas.openxmlformats.org/drawingml/2006/main" name="Office Theme">
  <a:themeElements>
    <a:clrScheme name="Custom 14">
      <a:dk1>
        <a:srgbClr val="39545A"/>
      </a:dk1>
      <a:lt1>
        <a:srgbClr val="FFFFFF"/>
      </a:lt1>
      <a:dk2>
        <a:srgbClr val="0072C6"/>
      </a:dk2>
      <a:lt2>
        <a:srgbClr val="E7E6E6"/>
      </a:lt2>
      <a:accent1>
        <a:srgbClr val="5BBF21"/>
      </a:accent1>
      <a:accent2>
        <a:srgbClr val="0090D3"/>
      </a:accent2>
      <a:accent3>
        <a:srgbClr val="0091C9"/>
      </a:accent3>
      <a:accent4>
        <a:srgbClr val="003893"/>
      </a:accent4>
      <a:accent5>
        <a:srgbClr val="422B74"/>
      </a:accent5>
      <a:accent6>
        <a:srgbClr val="AD1D6C"/>
      </a:accent6>
      <a:hlink>
        <a:srgbClr val="0072C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A8010-A407-4F12-B48B-22933DD0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York Hospital NHS Report</Template>
  <TotalTime>2</TotalTime>
  <Pages>5</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South Tees Hospitals NHS Foundation Trust</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Sharon - Patient Safety Team</dc:creator>
  <cp:lastModifiedBy>FULCHINI, Polly (NHS HUMBER AND NORTH YORKSHIRE ICB - 03Q)</cp:lastModifiedBy>
  <cp:revision>2</cp:revision>
  <dcterms:created xsi:type="dcterms:W3CDTF">2026-04-21T14:24:00Z</dcterms:created>
  <dcterms:modified xsi:type="dcterms:W3CDTF">2026-04-21T14:24:00Z</dcterms:modified>
</cp:coreProperties>
</file>