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1804" w14:textId="28F4AEEA" w:rsidR="005A327F" w:rsidRPr="004A537B" w:rsidRDefault="005D0FE1" w:rsidP="005D0FE1">
      <w:pPr>
        <w:rPr>
          <w:u w:val="double"/>
        </w:rPr>
      </w:pPr>
      <w:r w:rsidRPr="005D0FE1">
        <w:rPr>
          <w:u w:val="double"/>
        </w:rPr>
        <w:t>ADULT SOFT TISSUE</w:t>
      </w:r>
      <w:r w:rsidR="00D74F3E">
        <w:rPr>
          <w:u w:val="double"/>
        </w:rPr>
        <w:t xml:space="preserve"> LESION</w:t>
      </w:r>
      <w:r w:rsidRPr="005D0FE1">
        <w:rPr>
          <w:u w:val="double"/>
        </w:rPr>
        <w:t xml:space="preserve"> ULTRASOUND REFERRALS</w:t>
      </w:r>
    </w:p>
    <w:p w14:paraId="36D19B32" w14:textId="709F2922" w:rsidR="005D0FE1" w:rsidRPr="005D0FE1" w:rsidRDefault="005D0FE1" w:rsidP="00717CEF">
      <w:pPr>
        <w:spacing w:after="0"/>
        <w:jc w:val="both"/>
      </w:pPr>
      <w:proofErr w:type="gramStart"/>
      <w:r w:rsidRPr="005D0FE1">
        <w:t>The vast majority of</w:t>
      </w:r>
      <w:proofErr w:type="gramEnd"/>
      <w:r w:rsidRPr="005D0FE1">
        <w:t xml:space="preserve"> soft tissue lesions are benign. </w:t>
      </w:r>
      <w:r w:rsidR="00075FB6">
        <w:t>The</w:t>
      </w:r>
      <w:r w:rsidR="00000488">
        <w:t xml:space="preserve"> </w:t>
      </w:r>
      <w:r w:rsidR="00075FB6">
        <w:t>number of ultrasound</w:t>
      </w:r>
      <w:r w:rsidR="006400FB">
        <w:t xml:space="preserve"> (US)</w:t>
      </w:r>
      <w:r w:rsidR="00075FB6">
        <w:t xml:space="preserve"> appointments</w:t>
      </w:r>
      <w:r w:rsidR="00000488">
        <w:t xml:space="preserve"> for </w:t>
      </w:r>
      <w:r w:rsidR="00AA09BA">
        <w:t>lumps is finite</w:t>
      </w:r>
      <w:r w:rsidR="00075FB6">
        <w:t>.</w:t>
      </w:r>
      <w:r w:rsidR="00075FB6" w:rsidRPr="00075FB6">
        <w:t xml:space="preserve"> </w:t>
      </w:r>
      <w:r w:rsidR="00075FB6" w:rsidRPr="005D0FE1">
        <w:t>As such,</w:t>
      </w:r>
      <w:r w:rsidR="00075FB6">
        <w:rPr>
          <w:b/>
          <w:bCs/>
        </w:rPr>
        <w:t xml:space="preserve"> r</w:t>
      </w:r>
      <w:r w:rsidR="00075FB6" w:rsidRPr="005D0FE1">
        <w:rPr>
          <w:b/>
          <w:bCs/>
        </w:rPr>
        <w:t xml:space="preserve">eferral for soft tissue ultrasound </w:t>
      </w:r>
      <w:r w:rsidR="00717CEF">
        <w:rPr>
          <w:b/>
          <w:bCs/>
        </w:rPr>
        <w:t>must</w:t>
      </w:r>
      <w:r w:rsidR="00075FB6" w:rsidRPr="005D0FE1">
        <w:rPr>
          <w:b/>
          <w:bCs/>
        </w:rPr>
        <w:t xml:space="preserve"> come from a doctor</w:t>
      </w:r>
      <w:r w:rsidR="00075FB6" w:rsidRPr="005D0FE1">
        <w:t xml:space="preserve"> after a documented </w:t>
      </w:r>
      <w:r w:rsidR="00075FB6" w:rsidRPr="005D0FE1">
        <w:rPr>
          <w:b/>
          <w:bCs/>
        </w:rPr>
        <w:t>face-to-face clinical assessment</w:t>
      </w:r>
      <w:r w:rsidR="00075FB6">
        <w:t xml:space="preserve"> by that doctor</w:t>
      </w:r>
      <w:r w:rsidR="00075FB6" w:rsidRPr="005D0FE1">
        <w:rPr>
          <w:b/>
          <w:bCs/>
        </w:rPr>
        <w:t>.</w:t>
      </w:r>
      <w:r w:rsidR="00075FB6" w:rsidRPr="005D0FE1">
        <w:t xml:space="preserve"> </w:t>
      </w:r>
    </w:p>
    <w:p w14:paraId="324BB87B" w14:textId="77777777" w:rsidR="005D0FE1" w:rsidRPr="005D0FE1" w:rsidRDefault="005D0FE1" w:rsidP="00717CEF">
      <w:pPr>
        <w:spacing w:after="0"/>
        <w:jc w:val="both"/>
      </w:pPr>
    </w:p>
    <w:p w14:paraId="0C709B60" w14:textId="62667990" w:rsidR="005D0FE1" w:rsidRPr="00586C3E" w:rsidRDefault="005D0FE1" w:rsidP="00717CEF">
      <w:pPr>
        <w:spacing w:after="0"/>
        <w:jc w:val="both"/>
      </w:pPr>
      <w:r w:rsidRPr="005D0FE1">
        <w:rPr>
          <w:b/>
          <w:bCs/>
        </w:rPr>
        <w:t xml:space="preserve">Ultrasound soft tissue referrals will be rejected and returned as insufficient if it is not clear that the lumps are large, deep or growing. Therefore </w:t>
      </w:r>
      <w:r w:rsidRPr="005D0FE1">
        <w:rPr>
          <w:b/>
          <w:bCs/>
          <w:u w:val="single"/>
        </w:rPr>
        <w:t>size</w:t>
      </w:r>
      <w:r w:rsidRPr="005D0FE1">
        <w:rPr>
          <w:b/>
          <w:bCs/>
        </w:rPr>
        <w:t xml:space="preserve"> (in cm), </w:t>
      </w:r>
      <w:r w:rsidRPr="005D0FE1">
        <w:rPr>
          <w:b/>
          <w:bCs/>
          <w:u w:val="single"/>
        </w:rPr>
        <w:t>duration</w:t>
      </w:r>
      <w:r w:rsidRPr="005D0FE1">
        <w:rPr>
          <w:b/>
          <w:bCs/>
        </w:rPr>
        <w:t xml:space="preserve"> and any </w:t>
      </w:r>
      <w:r w:rsidRPr="005D0FE1">
        <w:rPr>
          <w:b/>
          <w:bCs/>
          <w:u w:val="single"/>
        </w:rPr>
        <w:t>change</w:t>
      </w:r>
      <w:r w:rsidRPr="005D0FE1">
        <w:rPr>
          <w:b/>
          <w:bCs/>
        </w:rPr>
        <w:t xml:space="preserve"> are MANDATORY on the referral. </w:t>
      </w:r>
    </w:p>
    <w:p w14:paraId="261A1AC0" w14:textId="77777777" w:rsidR="00B07FFA" w:rsidRDefault="00B07FFA" w:rsidP="00717CEF">
      <w:pPr>
        <w:spacing w:after="0"/>
        <w:jc w:val="both"/>
      </w:pPr>
    </w:p>
    <w:p w14:paraId="44428460" w14:textId="56EECDCE" w:rsidR="00B07FFA" w:rsidRDefault="00B07FFA" w:rsidP="00717CEF">
      <w:pPr>
        <w:spacing w:after="0"/>
        <w:jc w:val="both"/>
        <w:rPr>
          <w:u w:val="single"/>
        </w:rPr>
      </w:pPr>
      <w:r>
        <w:t>Not all lesions can or should be imaged.</w:t>
      </w:r>
      <w:r w:rsidRPr="006E476A">
        <w:t xml:space="preserve"> </w:t>
      </w:r>
      <w:r>
        <w:t xml:space="preserve">Adequate clinical details are the only tool that can be used for prioritisation as urgent vs routine.  </w:t>
      </w:r>
      <w:r>
        <w:rPr>
          <w:b/>
          <w:bCs/>
        </w:rPr>
        <w:t xml:space="preserve"> </w:t>
      </w:r>
    </w:p>
    <w:p w14:paraId="474D5753" w14:textId="77777777" w:rsidR="00A0269F" w:rsidRPr="005D0FE1" w:rsidRDefault="00A0269F" w:rsidP="00717CEF">
      <w:pPr>
        <w:spacing w:after="0"/>
        <w:jc w:val="both"/>
        <w:rPr>
          <w:b/>
          <w:bCs/>
        </w:rPr>
      </w:pPr>
    </w:p>
    <w:p w14:paraId="7A495E86" w14:textId="77777777" w:rsidR="005D0FE1" w:rsidRPr="005D0FE1" w:rsidRDefault="005D0FE1" w:rsidP="00717CEF">
      <w:pPr>
        <w:spacing w:after="0"/>
        <w:jc w:val="both"/>
      </w:pPr>
      <w:r w:rsidRPr="005D0FE1">
        <w:t>Lesions that will be scanned urgently:</w:t>
      </w:r>
    </w:p>
    <w:p w14:paraId="6BBC3B7B" w14:textId="77777777" w:rsidR="005D0FE1" w:rsidRPr="005D0FE1" w:rsidRDefault="005D0FE1" w:rsidP="00717CEF">
      <w:pPr>
        <w:numPr>
          <w:ilvl w:val="0"/>
          <w:numId w:val="1"/>
        </w:numPr>
        <w:spacing w:after="0"/>
        <w:jc w:val="both"/>
      </w:pPr>
      <w:r w:rsidRPr="005D0FE1">
        <w:t>&gt;5 cm</w:t>
      </w:r>
    </w:p>
    <w:p w14:paraId="2F42C0D1" w14:textId="77777777" w:rsidR="005D0FE1" w:rsidRPr="005D0FE1" w:rsidRDefault="005D0FE1" w:rsidP="00717CEF">
      <w:pPr>
        <w:numPr>
          <w:ilvl w:val="0"/>
          <w:numId w:val="1"/>
        </w:numPr>
        <w:spacing w:after="0"/>
        <w:jc w:val="both"/>
      </w:pPr>
      <w:r w:rsidRPr="005D0FE1">
        <w:t>Deep/ tethered</w:t>
      </w:r>
    </w:p>
    <w:p w14:paraId="2EEBD164" w14:textId="77777777" w:rsidR="005D0FE1" w:rsidRPr="005D0FE1" w:rsidRDefault="005D0FE1" w:rsidP="00717CEF">
      <w:pPr>
        <w:numPr>
          <w:ilvl w:val="0"/>
          <w:numId w:val="1"/>
        </w:numPr>
        <w:spacing w:after="0"/>
        <w:jc w:val="both"/>
      </w:pPr>
      <w:r w:rsidRPr="005D0FE1">
        <w:t>Growing rapidly</w:t>
      </w:r>
    </w:p>
    <w:p w14:paraId="27CCBD66" w14:textId="77777777" w:rsidR="005D0FE1" w:rsidRPr="005D0FE1" w:rsidRDefault="005D0FE1" w:rsidP="00717CEF">
      <w:pPr>
        <w:numPr>
          <w:ilvl w:val="0"/>
          <w:numId w:val="1"/>
        </w:numPr>
        <w:spacing w:after="0"/>
        <w:jc w:val="both"/>
      </w:pPr>
      <w:r w:rsidRPr="005D0FE1">
        <w:t>Painful</w:t>
      </w:r>
    </w:p>
    <w:p w14:paraId="0A97AF0F" w14:textId="6283A7A6" w:rsidR="005D0FE1" w:rsidRDefault="00550A10" w:rsidP="00717CEF">
      <w:pPr>
        <w:numPr>
          <w:ilvl w:val="0"/>
          <w:numId w:val="1"/>
        </w:numPr>
        <w:spacing w:after="0"/>
        <w:jc w:val="both"/>
      </w:pPr>
      <w:r>
        <w:t>Previous</w:t>
      </w:r>
      <w:r w:rsidR="003B0740">
        <w:t xml:space="preserve"> history of</w:t>
      </w:r>
      <w:r>
        <w:t xml:space="preserve"> malignancy</w:t>
      </w:r>
      <w:r w:rsidR="001370E2">
        <w:t xml:space="preserve"> </w:t>
      </w:r>
      <w:r w:rsidR="005D0FE1" w:rsidRPr="005D0FE1">
        <w:t xml:space="preserve">– </w:t>
      </w:r>
      <w:r>
        <w:t>particularly</w:t>
      </w:r>
      <w:r w:rsidR="005D0FE1" w:rsidRPr="005D0FE1">
        <w:t xml:space="preserve"> sarcoma</w:t>
      </w:r>
      <w:r>
        <w:t xml:space="preserve"> </w:t>
      </w:r>
      <w:r w:rsidR="00F21A6A">
        <w:t>or</w:t>
      </w:r>
      <w:r w:rsidR="005D0FE1" w:rsidRPr="005D0FE1">
        <w:t xml:space="preserve"> melanoma</w:t>
      </w:r>
    </w:p>
    <w:p w14:paraId="1499F691" w14:textId="77777777" w:rsidR="00C03733" w:rsidRDefault="00C03733" w:rsidP="00717CEF">
      <w:pPr>
        <w:spacing w:after="0"/>
        <w:jc w:val="both"/>
        <w:rPr>
          <w:b/>
          <w:bCs/>
        </w:rPr>
      </w:pPr>
    </w:p>
    <w:p w14:paraId="37DE9E86" w14:textId="77777777" w:rsidR="00313E4F" w:rsidRDefault="00C03733" w:rsidP="00717CEF">
      <w:pPr>
        <w:spacing w:after="0"/>
        <w:jc w:val="both"/>
      </w:pPr>
      <w:r>
        <w:t>S</w:t>
      </w:r>
      <w:r w:rsidRPr="005D0FE1">
        <w:t>mall, superficial and longstanding</w:t>
      </w:r>
      <w:r>
        <w:t xml:space="preserve"> lesions that are</w:t>
      </w:r>
      <w:r w:rsidRPr="005D0FE1">
        <w:t xml:space="preserve"> not changing in size do not require ultrasound. Patients with such lumps can be reassured and advised to return if symptoms change or progress.</w:t>
      </w:r>
      <w:r w:rsidR="00B07FFA" w:rsidRPr="00B07FFA">
        <w:t xml:space="preserve"> </w:t>
      </w:r>
    </w:p>
    <w:p w14:paraId="74D278DD" w14:textId="77777777" w:rsidR="00313E4F" w:rsidRDefault="00313E4F" w:rsidP="00717CEF">
      <w:pPr>
        <w:spacing w:after="0"/>
        <w:jc w:val="both"/>
      </w:pPr>
    </w:p>
    <w:p w14:paraId="7194C209" w14:textId="3A592535" w:rsidR="00C03733" w:rsidRPr="00B07FFA" w:rsidRDefault="00B07FFA" w:rsidP="00717CEF">
      <w:pPr>
        <w:spacing w:after="0"/>
        <w:jc w:val="both"/>
      </w:pPr>
      <w:r>
        <w:t xml:space="preserve">Smaller lumps may be accepted as routine scans. </w:t>
      </w:r>
      <w:r w:rsidR="002B2A7E">
        <w:t>H</w:t>
      </w:r>
      <w:r>
        <w:t>and and foot lumps will be accepted at smaller size thresholds</w:t>
      </w:r>
      <w:r w:rsidR="00EF7E0F">
        <w:t>, if indicated</w:t>
      </w:r>
      <w:r>
        <w:t>.</w:t>
      </w:r>
    </w:p>
    <w:p w14:paraId="46A37BD9" w14:textId="77777777" w:rsidR="009C3FFF" w:rsidRDefault="009C3FFF" w:rsidP="00717CEF">
      <w:pPr>
        <w:spacing w:after="0"/>
        <w:jc w:val="both"/>
      </w:pPr>
    </w:p>
    <w:p w14:paraId="1F4B5D90" w14:textId="563A9FC8" w:rsidR="002B2A7E" w:rsidRDefault="009C3FFF" w:rsidP="00717CEF">
      <w:pPr>
        <w:spacing w:after="0"/>
        <w:jc w:val="both"/>
      </w:pPr>
      <w:r>
        <w:t xml:space="preserve">Please see separate comments </w:t>
      </w:r>
      <w:r w:rsidR="00313E4F">
        <w:t>(</w:t>
      </w:r>
      <w:r w:rsidR="003B043F">
        <w:t xml:space="preserve">below and </w:t>
      </w:r>
      <w:r w:rsidR="00313E4F">
        <w:t xml:space="preserve">page 2) </w:t>
      </w:r>
      <w:r>
        <w:t>regarding soft tissue lesions, lipomas</w:t>
      </w:r>
      <w:r w:rsidR="001B152C">
        <w:t>, groin</w:t>
      </w:r>
      <w:r w:rsidR="003B043F">
        <w:t xml:space="preserve"> and </w:t>
      </w:r>
      <w:r w:rsidR="001B152C">
        <w:t>axillary lymph nodes</w:t>
      </w:r>
      <w:r w:rsidR="003B043F">
        <w:t>, hernias</w:t>
      </w:r>
      <w:r w:rsidR="001B152C">
        <w:t xml:space="preserve"> and clinical diagnoses where routine imaging </w:t>
      </w:r>
      <w:r w:rsidR="003B043F">
        <w:t>c</w:t>
      </w:r>
      <w:r w:rsidR="00AA09BA">
        <w:t>ould</w:t>
      </w:r>
      <w:r w:rsidR="00516A52">
        <w:t xml:space="preserve"> take several months </w:t>
      </w:r>
      <w:r w:rsidR="00AA09BA">
        <w:t>but</w:t>
      </w:r>
      <w:r w:rsidR="00516A52">
        <w:t xml:space="preserve"> should not delay treatment.</w:t>
      </w:r>
      <w:r w:rsidR="006400FB">
        <w:t xml:space="preserve"> </w:t>
      </w:r>
      <w:r w:rsidR="002B2A7E">
        <w:t>This advice does not apply to neck lumps</w:t>
      </w:r>
      <w:r w:rsidR="00071057">
        <w:t>.</w:t>
      </w:r>
    </w:p>
    <w:p w14:paraId="73FC2E55" w14:textId="77777777" w:rsidR="000A505D" w:rsidRPr="005D0FE1" w:rsidRDefault="000A505D" w:rsidP="00B07FFA">
      <w:pPr>
        <w:spacing w:after="0"/>
      </w:pPr>
    </w:p>
    <w:p w14:paraId="2F7C65EB" w14:textId="77777777" w:rsidR="000A505D" w:rsidRPr="000A505D" w:rsidRDefault="000A505D" w:rsidP="000A505D">
      <w:pPr>
        <w:rPr>
          <w:u w:val="single"/>
        </w:rPr>
      </w:pPr>
      <w:r w:rsidRPr="000A505D">
        <w:rPr>
          <w:u w:val="single"/>
        </w:rPr>
        <w:t>The ultimate responsibility for the patient and their soft tissue lesions lies with the referrer. Delays in diagnosis due to inadequate referrals are not the responsibility of the radiology department. If a referrer is sufficiently concerned about the appearance and/ or behaviour of a lesion; it is their duty to clearly document these concerns in an adequate ultrasound request.</w:t>
      </w:r>
    </w:p>
    <w:p w14:paraId="5A9383BE" w14:textId="77777777" w:rsidR="006400FB" w:rsidRDefault="006400FB" w:rsidP="006400FB">
      <w:pPr>
        <w:rPr>
          <w:u w:val="double"/>
        </w:rPr>
      </w:pPr>
    </w:p>
    <w:p w14:paraId="7EC89F71" w14:textId="3E40E4BA" w:rsidR="001F43EF" w:rsidRPr="006400FB" w:rsidRDefault="001F43EF" w:rsidP="006400FB">
      <w:pPr>
        <w:rPr>
          <w:u w:val="single"/>
        </w:rPr>
      </w:pPr>
      <w:r w:rsidRPr="001F43EF">
        <w:rPr>
          <w:u w:val="double"/>
        </w:rPr>
        <w:t>BMUS GUIDANCE</w:t>
      </w:r>
    </w:p>
    <w:p w14:paraId="16D55218" w14:textId="77777777" w:rsidR="00C0411A" w:rsidRDefault="00C0411A" w:rsidP="004E309E">
      <w:pPr>
        <w:spacing w:after="0"/>
        <w:rPr>
          <w:u w:val="single"/>
        </w:rPr>
      </w:pPr>
    </w:p>
    <w:p w14:paraId="71914367" w14:textId="7199A5BD" w:rsidR="00A0269F" w:rsidRDefault="00766937" w:rsidP="004E309E">
      <w:pPr>
        <w:spacing w:after="0"/>
      </w:pPr>
      <w:r w:rsidRPr="00766937">
        <w:rPr>
          <w:u w:val="single"/>
        </w:rPr>
        <w:t>Soft tissue lesions-</w:t>
      </w:r>
      <w:r>
        <w:t xml:space="preserve"> </w:t>
      </w:r>
    </w:p>
    <w:p w14:paraId="7EB92A38" w14:textId="22C64793" w:rsidR="004E309E" w:rsidRDefault="005D0FE1" w:rsidP="004E309E">
      <w:pPr>
        <w:spacing w:after="0"/>
      </w:pPr>
      <w:r w:rsidRPr="005D0FE1">
        <w:t xml:space="preserve">Adequate referrals for lesions of less than 5 cm but </w:t>
      </w:r>
      <w:r w:rsidR="00F96317" w:rsidRPr="005D0FE1">
        <w:t>painful</w:t>
      </w:r>
      <w:r w:rsidR="00F3322C">
        <w:t>*</w:t>
      </w:r>
      <w:r w:rsidR="00F96317" w:rsidRPr="005D0FE1">
        <w:t xml:space="preserve"> </w:t>
      </w:r>
      <w:r w:rsidR="00F96317">
        <w:t xml:space="preserve">or </w:t>
      </w:r>
      <w:r w:rsidRPr="005D0FE1">
        <w:t xml:space="preserve">growing slowly may be accepted on a routine basis, particularly if there is diagnostic uncertainty. </w:t>
      </w:r>
      <w:r w:rsidR="00C77E42">
        <w:t>V</w:t>
      </w:r>
      <w:r w:rsidRPr="005D0FE1">
        <w:t>ery small (‘pea-sized’) and superficial</w:t>
      </w:r>
      <w:r w:rsidR="00C77E42">
        <w:t xml:space="preserve"> </w:t>
      </w:r>
      <w:r w:rsidRPr="005D0FE1">
        <w:t>lesions do not benefit from ultrasound.</w:t>
      </w:r>
      <w:r w:rsidR="004E309E" w:rsidRPr="004E309E">
        <w:t xml:space="preserve"> </w:t>
      </w:r>
      <w:r w:rsidR="004518F8">
        <w:t xml:space="preserve">Subcutaneous cysts are </w:t>
      </w:r>
      <w:r w:rsidR="00956541">
        <w:t>attached</w:t>
      </w:r>
      <w:r w:rsidR="00892AD6">
        <w:t xml:space="preserve"> to skin and </w:t>
      </w:r>
      <w:r w:rsidR="000678BC">
        <w:t xml:space="preserve">mobile over deep structures. US is not </w:t>
      </w:r>
      <w:r w:rsidR="00324186">
        <w:t>required, particularly if they produce fluid/ pus.</w:t>
      </w:r>
    </w:p>
    <w:p w14:paraId="3CECC709" w14:textId="7E471207" w:rsidR="00E4279E" w:rsidRPr="00000488" w:rsidRDefault="00E4279E" w:rsidP="004E309E">
      <w:pPr>
        <w:spacing w:after="0"/>
        <w:rPr>
          <w:i/>
          <w:iCs/>
        </w:rPr>
      </w:pPr>
      <w:r w:rsidRPr="00000488">
        <w:rPr>
          <w:i/>
          <w:iCs/>
        </w:rPr>
        <w:t>*Painful refers to lesions where the patient reports pain, rather than tenderness to deep palpation.</w:t>
      </w:r>
    </w:p>
    <w:p w14:paraId="252B55F6" w14:textId="654181F8" w:rsidR="00A0269F" w:rsidRDefault="005D0FE1" w:rsidP="005D0FE1">
      <w:pPr>
        <w:spacing w:after="0"/>
      </w:pPr>
      <w:r w:rsidRPr="00766937">
        <w:rPr>
          <w:u w:val="single"/>
        </w:rPr>
        <w:lastRenderedPageBreak/>
        <w:t>Lipomas</w:t>
      </w:r>
      <w:r w:rsidR="00076035">
        <w:rPr>
          <w:u w:val="single"/>
        </w:rPr>
        <w:t>-</w:t>
      </w:r>
      <w:r w:rsidR="00766937" w:rsidRPr="00766937">
        <w:t xml:space="preserve"> </w:t>
      </w:r>
    </w:p>
    <w:p w14:paraId="60B8182A" w14:textId="32F4219D" w:rsidR="005D0FE1" w:rsidRDefault="0030324D" w:rsidP="005D0FE1">
      <w:pPr>
        <w:spacing w:after="0"/>
      </w:pPr>
      <w:r>
        <w:t>Lipomas are n</w:t>
      </w:r>
      <w:r w:rsidR="005D0FE1" w:rsidRPr="00766937">
        <w:t>ot</w:t>
      </w:r>
      <w:r w:rsidR="005D0FE1" w:rsidRPr="005D0FE1">
        <w:t xml:space="preserve"> removed for cosmetic reasons and therefore a scan of a known lipoma that is not growing does not aid onward referral.</w:t>
      </w:r>
      <w:r w:rsidR="00995289">
        <w:t xml:space="preserve"> </w:t>
      </w:r>
      <w:r w:rsidR="005D0A96">
        <w:t xml:space="preserve">Scans requested before </w:t>
      </w:r>
      <w:r w:rsidR="00E925B4">
        <w:t>excision in the private sector will not be accepted.</w:t>
      </w:r>
      <w:r w:rsidR="005D0FE1" w:rsidRPr="005D0FE1">
        <w:t xml:space="preserve"> Current Sarcoma MDT referral guidelines </w:t>
      </w:r>
      <w:r w:rsidR="003B043F">
        <w:t xml:space="preserve">only accept </w:t>
      </w:r>
      <w:r w:rsidR="005D0FE1" w:rsidRPr="005D0FE1">
        <w:t>subcutaneous lipomas</w:t>
      </w:r>
      <w:r w:rsidR="003B043F">
        <w:t xml:space="preserve"> over 10 cm</w:t>
      </w:r>
      <w:r w:rsidR="005D0FE1" w:rsidRPr="005D0FE1">
        <w:t>. Lesions that interfere with occupations, hobbies or obstruct an orifice may be removed and therefore a scan may contribute</w:t>
      </w:r>
      <w:r w:rsidR="00E22500">
        <w:t xml:space="preserve"> to plastic surgery referral/ assessment</w:t>
      </w:r>
      <w:r w:rsidR="005D0FE1" w:rsidRPr="005D0FE1">
        <w:t xml:space="preserve">. </w:t>
      </w:r>
    </w:p>
    <w:p w14:paraId="75FF6144" w14:textId="77777777" w:rsidR="002C6214" w:rsidRDefault="002C6214" w:rsidP="005D0FE1">
      <w:pPr>
        <w:spacing w:after="0"/>
      </w:pPr>
    </w:p>
    <w:p w14:paraId="0E7623A1" w14:textId="77777777" w:rsidR="00C0411A" w:rsidRDefault="00C0411A" w:rsidP="005D0FE1">
      <w:pPr>
        <w:spacing w:after="0"/>
        <w:rPr>
          <w:u w:val="single"/>
        </w:rPr>
      </w:pPr>
    </w:p>
    <w:p w14:paraId="7A30046C" w14:textId="4C2D3469" w:rsidR="00A0269F" w:rsidRDefault="00A660C5" w:rsidP="005D0FE1">
      <w:pPr>
        <w:spacing w:after="0"/>
      </w:pPr>
      <w:r>
        <w:rPr>
          <w:u w:val="single"/>
        </w:rPr>
        <w:t>Groin or axillary l</w:t>
      </w:r>
      <w:r w:rsidR="00076035" w:rsidRPr="00076035">
        <w:rPr>
          <w:u w:val="single"/>
        </w:rPr>
        <w:t>ymph nodes-</w:t>
      </w:r>
      <w:r w:rsidR="00076035">
        <w:t xml:space="preserve"> </w:t>
      </w:r>
    </w:p>
    <w:p w14:paraId="4F5657E4" w14:textId="4E2FCB44" w:rsidR="00E22500" w:rsidRDefault="00326F69" w:rsidP="005D0FE1">
      <w:pPr>
        <w:spacing w:after="0"/>
      </w:pPr>
      <w:r>
        <w:t>Groin or axillary lymph nodes</w:t>
      </w:r>
      <w:r w:rsidR="00E75647">
        <w:t xml:space="preserve"> </w:t>
      </w:r>
      <w:r w:rsidR="00E22500">
        <w:t xml:space="preserve">under 1 cm </w:t>
      </w:r>
      <w:r w:rsidR="00E75647">
        <w:t xml:space="preserve">do not benefit from US. </w:t>
      </w:r>
    </w:p>
    <w:p w14:paraId="705D3C71" w14:textId="77777777" w:rsidR="00E22500" w:rsidRDefault="00E75647" w:rsidP="005D0FE1">
      <w:pPr>
        <w:spacing w:after="0"/>
      </w:pPr>
      <w:r>
        <w:t xml:space="preserve">Nodes may grow to 2 cm </w:t>
      </w:r>
      <w:r w:rsidR="00E22500">
        <w:t>and/or become tender when</w:t>
      </w:r>
      <w:r>
        <w:t xml:space="preserve"> associated with a site of infection, US is not indicated.</w:t>
      </w:r>
      <w:r w:rsidR="005F2C94">
        <w:t xml:space="preserve"> </w:t>
      </w:r>
    </w:p>
    <w:p w14:paraId="4140AA2C" w14:textId="77777777" w:rsidR="00C0411A" w:rsidRDefault="005F2C94" w:rsidP="005D0FE1">
      <w:pPr>
        <w:spacing w:after="0"/>
      </w:pPr>
      <w:r>
        <w:t>Non-tender nodes that are enlarging over 2 cm or persisting more than 6 weeks require</w:t>
      </w:r>
      <w:r w:rsidR="0046586B">
        <w:t xml:space="preserve"> urgent</w:t>
      </w:r>
      <w:r>
        <w:t xml:space="preserve"> haem</w:t>
      </w:r>
      <w:r w:rsidR="0046586B">
        <w:t>a</w:t>
      </w:r>
      <w:r>
        <w:t xml:space="preserve">tology referral. </w:t>
      </w:r>
    </w:p>
    <w:p w14:paraId="515D8780" w14:textId="58534EF1" w:rsidR="00D55240" w:rsidRDefault="00D55240" w:rsidP="005D0FE1">
      <w:pPr>
        <w:spacing w:after="0"/>
        <w:rPr>
          <w:b/>
          <w:bCs/>
        </w:rPr>
      </w:pPr>
      <w:r>
        <w:rPr>
          <w:b/>
          <w:bCs/>
        </w:rPr>
        <w:t xml:space="preserve">Awaiting vetting, booking, scanning and reporting of progressive lymphadenopathy will delay treatment. FNA/ biopsy cannot be accepted from </w:t>
      </w:r>
      <w:r w:rsidR="00947E4F">
        <w:rPr>
          <w:b/>
          <w:bCs/>
        </w:rPr>
        <w:t xml:space="preserve">primary care. The most </w:t>
      </w:r>
      <w:r w:rsidR="00023220">
        <w:rPr>
          <w:b/>
          <w:bCs/>
        </w:rPr>
        <w:t>appropriate</w:t>
      </w:r>
      <w:r w:rsidR="00947E4F">
        <w:rPr>
          <w:b/>
          <w:bCs/>
        </w:rPr>
        <w:t xml:space="preserve"> pathway is haematology referral.</w:t>
      </w:r>
    </w:p>
    <w:p w14:paraId="5FF0BD6B" w14:textId="77777777" w:rsidR="006400FB" w:rsidRDefault="006400FB" w:rsidP="005D0FE1">
      <w:pPr>
        <w:spacing w:after="0"/>
        <w:rPr>
          <w:b/>
          <w:bCs/>
        </w:rPr>
      </w:pPr>
    </w:p>
    <w:p w14:paraId="534379D2" w14:textId="70C60185" w:rsidR="006400FB" w:rsidRDefault="006400FB" w:rsidP="005D0FE1">
      <w:pPr>
        <w:spacing w:after="0"/>
        <w:rPr>
          <w:u w:val="single"/>
        </w:rPr>
      </w:pPr>
      <w:r w:rsidRPr="006400FB">
        <w:rPr>
          <w:u w:val="single"/>
        </w:rPr>
        <w:t>Groin or abdominal wall hernia</w:t>
      </w:r>
    </w:p>
    <w:p w14:paraId="4FEA3E4E" w14:textId="0AFA40A5" w:rsidR="006400FB" w:rsidRPr="006400FB" w:rsidRDefault="006400FB" w:rsidP="005D0FE1">
      <w:pPr>
        <w:spacing w:after="0"/>
        <w:rPr>
          <w:i/>
          <w:iCs/>
        </w:rPr>
      </w:pPr>
      <w:r w:rsidRPr="006400FB">
        <w:t>BMUS</w:t>
      </w:r>
      <w:r>
        <w:t xml:space="preserve"> guidance states that US is not</w:t>
      </w:r>
      <w:r w:rsidR="00D86B0B">
        <w:t xml:space="preserve"> routinely</w:t>
      </w:r>
      <w:r>
        <w:t xml:space="preserve"> required for hernias. Surgical referral is recommended. A new groin or abdominal wall lump which does not examine as a hernia but meets the criteria for urgent scan (see page 1 bullet points) would justify US. Groin pain alone does not benefit from US and is an indication for MSK/ physio/ orthopaedic referral.</w:t>
      </w:r>
    </w:p>
    <w:p w14:paraId="4F8ADB54" w14:textId="77777777" w:rsidR="0046586B" w:rsidRDefault="0046586B" w:rsidP="005D0FE1">
      <w:pPr>
        <w:spacing w:after="0"/>
        <w:rPr>
          <w:i/>
          <w:iCs/>
        </w:rPr>
      </w:pPr>
    </w:p>
    <w:p w14:paraId="207597EB" w14:textId="77777777" w:rsidR="00C0411A" w:rsidRDefault="00C0411A" w:rsidP="005D0FE1">
      <w:pPr>
        <w:spacing w:after="0"/>
        <w:rPr>
          <w:i/>
          <w:iCs/>
        </w:rPr>
      </w:pPr>
    </w:p>
    <w:p w14:paraId="113B8D2C" w14:textId="77777777" w:rsidR="00A0269F" w:rsidRDefault="0046586B" w:rsidP="00682394">
      <w:pPr>
        <w:spacing w:after="0"/>
      </w:pPr>
      <w:r w:rsidRPr="0046586B">
        <w:rPr>
          <w:u w:val="single"/>
        </w:rPr>
        <w:softHyphen/>
        <w:t>Others-</w:t>
      </w:r>
      <w:r>
        <w:t xml:space="preserve"> </w:t>
      </w:r>
    </w:p>
    <w:p w14:paraId="4D48B5E7" w14:textId="3C59958B" w:rsidR="00F22E02" w:rsidRDefault="00DF7528" w:rsidP="00682394">
      <w:pPr>
        <w:spacing w:after="0"/>
      </w:pPr>
      <w:r>
        <w:t>Clinical diagnoses where US is not</w:t>
      </w:r>
      <w:r w:rsidR="009023AF">
        <w:t xml:space="preserve"> </w:t>
      </w:r>
      <w:r>
        <w:t xml:space="preserve">indicated prior to </w:t>
      </w:r>
      <w:r w:rsidR="001814E8">
        <w:t>rehabilitation or MSK service</w:t>
      </w:r>
      <w:r>
        <w:t xml:space="preserve"> referral</w:t>
      </w:r>
      <w:r w:rsidR="00F22E02">
        <w:t xml:space="preserve"> –</w:t>
      </w:r>
    </w:p>
    <w:p w14:paraId="746E1BB4" w14:textId="337AE7AE" w:rsidR="009023AF" w:rsidRDefault="009023AF" w:rsidP="00A0269F">
      <w:pPr>
        <w:spacing w:after="0"/>
        <w:ind w:firstLine="720"/>
      </w:pPr>
      <w:r>
        <w:rPr>
          <w:noProof/>
        </w:rPr>
        <mc:AlternateContent>
          <mc:Choice Requires="wps">
            <w:drawing>
              <wp:anchor distT="45720" distB="45720" distL="114300" distR="114300" simplePos="0" relativeHeight="251659776" behindDoc="0" locked="0" layoutInCell="1" allowOverlap="1" wp14:anchorId="092EA2EA" wp14:editId="6325B4B5">
                <wp:simplePos x="0" y="0"/>
                <wp:positionH relativeFrom="column">
                  <wp:posOffset>2066925</wp:posOffset>
                </wp:positionH>
                <wp:positionV relativeFrom="paragraph">
                  <wp:posOffset>55245</wp:posOffset>
                </wp:positionV>
                <wp:extent cx="409575" cy="86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66775"/>
                        </a:xfrm>
                        <a:prstGeom prst="rect">
                          <a:avLst/>
                        </a:prstGeom>
                        <a:solidFill>
                          <a:srgbClr val="FFFFFF"/>
                        </a:solidFill>
                        <a:ln w="9525">
                          <a:noFill/>
                          <a:miter lim="800000"/>
                          <a:headEnd/>
                          <a:tailEnd/>
                        </a:ln>
                      </wps:spPr>
                      <wps:txbx>
                        <w:txbxContent>
                          <w:p w14:paraId="1D11BA9F" w14:textId="47D4D293" w:rsidR="005F2303" w:rsidRPr="00237D53" w:rsidRDefault="00503373">
                            <w:pPr>
                              <w:rPr>
                                <w:rFonts w:cstheme="minorHAnsi"/>
                                <w:sz w:val="110"/>
                                <w:szCs w:val="110"/>
                              </w:rPr>
                            </w:pPr>
                            <w:r w:rsidRPr="00237D53">
                              <w:rPr>
                                <w:rFonts w:cstheme="minorHAnsi"/>
                                <w:sz w:val="110"/>
                                <w:szCs w:val="110"/>
                              </w:rPr>
                              <w:t>}</w:t>
                            </w:r>
                            <w:r w:rsidR="005F2303" w:rsidRPr="00237D53">
                              <w:rPr>
                                <w:rFonts w:cstheme="minorHAnsi"/>
                                <w:sz w:val="110"/>
                                <w:szCs w:val="110"/>
                              </w:rPr>
                              <w:t xml:space="preserve"> </w:t>
                            </w:r>
                          </w:p>
                          <w:p w14:paraId="68EEE358" w14:textId="4BF79D75" w:rsidR="00503373" w:rsidRPr="005F2303" w:rsidRDefault="005F2303">
                            <w:r>
                              <w:rPr>
                                <w:rFonts w:cstheme="minorHAnsi"/>
                              </w:rPr>
                              <w:t>(</w:t>
                            </w:r>
                            <w:proofErr w:type="gramStart"/>
                            <w:r>
                              <w:rPr>
                                <w:rFonts w:cstheme="minorHAnsi"/>
                              </w:rPr>
                              <w:t>or</w:t>
                            </w:r>
                            <w:proofErr w:type="gramEnd"/>
                            <w:r>
                              <w:rPr>
                                <w:rFonts w:cstheme="minorHAnsi"/>
                              </w:rPr>
                              <w:t xml:space="preserve"> orthopaedics a</w:t>
                            </w:r>
                            <w:r w:rsidR="005B537C">
                              <w:rPr>
                                <w:rFonts w:cstheme="minorHAnsi"/>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EA2EA" id="_x0000_t202" coordsize="21600,21600" o:spt="202" path="m,l,21600r21600,l21600,xe">
                <v:stroke joinstyle="miter"/>
                <v:path gradientshapeok="t" o:connecttype="rect"/>
              </v:shapetype>
              <v:shape id="Text Box 2" o:spid="_x0000_s1026" type="#_x0000_t202" style="position:absolute;left:0;text-align:left;margin-left:162.75pt;margin-top:4.35pt;width:32.25pt;height:68.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" stroked="f">
                <v:textbox>
                  <w:txbxContent>
                    <w:p w14:paraId="1D11BA9F" w14:textId="47D4D293" w:rsidR="005F2303" w:rsidRPr="00237D53" w:rsidRDefault="00503373">
                      <w:pPr>
                        <w:rPr>
                          <w:rFonts w:cstheme="minorHAnsi"/>
                          <w:sz w:val="110"/>
                          <w:szCs w:val="110"/>
                        </w:rPr>
                      </w:pPr>
                      <w:r w:rsidRPr="00237D53">
                        <w:rPr>
                          <w:rFonts w:cstheme="minorHAnsi"/>
                          <w:sz w:val="110"/>
                          <w:szCs w:val="110"/>
                        </w:rPr>
                        <w:t>}</w:t>
                      </w:r>
                      <w:r w:rsidR="005F2303" w:rsidRPr="00237D53">
                        <w:rPr>
                          <w:rFonts w:cstheme="minorHAnsi"/>
                          <w:sz w:val="110"/>
                          <w:szCs w:val="110"/>
                        </w:rPr>
                        <w:t xml:space="preserve"> </w:t>
                      </w:r>
                    </w:p>
                    <w:p w14:paraId="68EEE358" w14:textId="4BF79D75" w:rsidR="00503373" w:rsidRPr="005F2303" w:rsidRDefault="005F2303">
                      <w:r>
                        <w:rPr>
                          <w:rFonts w:cstheme="minorHAnsi"/>
                        </w:rPr>
                        <w:t>(</w:t>
                      </w:r>
                      <w:proofErr w:type="gramStart"/>
                      <w:r>
                        <w:rPr>
                          <w:rFonts w:cstheme="minorHAnsi"/>
                        </w:rPr>
                        <w:t>or</w:t>
                      </w:r>
                      <w:proofErr w:type="gramEnd"/>
                      <w:r>
                        <w:rPr>
                          <w:rFonts w:cstheme="minorHAnsi"/>
                        </w:rPr>
                        <w:t xml:space="preserve"> orthopaedics a</w:t>
                      </w:r>
                      <w:r w:rsidR="005B537C">
                        <w:rPr>
                          <w:rFonts w:cstheme="minorHAnsi"/>
                        </w:rPr>
                        <w:t>1</w:t>
                      </w:r>
                    </w:p>
                  </w:txbxContent>
                </v:textbox>
                <w10:wrap type="square"/>
              </v:shape>
            </w:pict>
          </mc:Fallback>
        </mc:AlternateContent>
      </w:r>
    </w:p>
    <w:p w14:paraId="1BFD2D68" w14:textId="0D16D9B4" w:rsidR="00A0269F" w:rsidRDefault="00A018B5" w:rsidP="00A0269F">
      <w:pPr>
        <w:spacing w:after="0"/>
        <w:ind w:firstLine="720"/>
      </w:pPr>
      <w:r>
        <w:rPr>
          <w:noProof/>
        </w:rPr>
        <mc:AlternateContent>
          <mc:Choice Requires="wps">
            <w:drawing>
              <wp:anchor distT="45720" distB="45720" distL="114300" distR="114300" simplePos="0" relativeHeight="251661824" behindDoc="0" locked="0" layoutInCell="1" allowOverlap="1" wp14:anchorId="1D144A8A" wp14:editId="21F95386">
                <wp:simplePos x="0" y="0"/>
                <wp:positionH relativeFrom="column">
                  <wp:posOffset>2476500</wp:posOffset>
                </wp:positionH>
                <wp:positionV relativeFrom="paragraph">
                  <wp:posOffset>149860</wp:posOffset>
                </wp:positionV>
                <wp:extent cx="1495425" cy="476250"/>
                <wp:effectExtent l="0" t="0" r="9525" b="0"/>
                <wp:wrapSquare wrapText="bothSides"/>
                <wp:docPr id="22264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76250"/>
                        </a:xfrm>
                        <a:prstGeom prst="rect">
                          <a:avLst/>
                        </a:prstGeom>
                        <a:solidFill>
                          <a:srgbClr val="FFFFFF"/>
                        </a:solidFill>
                        <a:ln w="9525">
                          <a:noFill/>
                          <a:miter lim="800000"/>
                          <a:headEnd/>
                          <a:tailEnd/>
                        </a:ln>
                      </wps:spPr>
                      <wps:txbx>
                        <w:txbxContent>
                          <w:p w14:paraId="6C6F85B3" w14:textId="4E11D8AF" w:rsidR="005B537C" w:rsidRPr="00A018B5" w:rsidRDefault="00A018B5" w:rsidP="00E62B58">
                            <w:pPr>
                              <w:spacing w:after="0"/>
                              <w:rPr>
                                <w:rFonts w:cstheme="minorHAnsi"/>
                              </w:rPr>
                            </w:pPr>
                            <w:r>
                              <w:rPr>
                                <w:rFonts w:cstheme="minorHAnsi"/>
                              </w:rPr>
                              <w:t>Refer to MSK service</w:t>
                            </w:r>
                          </w:p>
                          <w:p w14:paraId="0D6909C9" w14:textId="2BEB20F9" w:rsidR="005B537C" w:rsidRPr="005F2303" w:rsidRDefault="005B537C" w:rsidP="00E62B58">
                            <w:pPr>
                              <w:spacing w:after="0"/>
                            </w:pPr>
                            <w:r>
                              <w:rPr>
                                <w:rFonts w:cstheme="minorHAnsi"/>
                              </w:rPr>
                              <w:t>(or ortho a</w:t>
                            </w:r>
                            <w:r w:rsidR="00A018B5">
                              <w:rPr>
                                <w:rFonts w:cstheme="minorHAnsi"/>
                              </w:rPr>
                              <w:t>t SGH)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44A8A" id="_x0000_s1027" type="#_x0000_t202" style="position:absolute;left:0;text-align:left;margin-left:195pt;margin-top:11.8pt;width:117.7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" stroked="f">
                <v:textbox>
                  <w:txbxContent>
                    <w:p w14:paraId="6C6F85B3" w14:textId="4E11D8AF" w:rsidR="005B537C" w:rsidRPr="00A018B5" w:rsidRDefault="00A018B5" w:rsidP="00E62B58">
                      <w:pPr>
                        <w:spacing w:after="0"/>
                        <w:rPr>
                          <w:rFonts w:cstheme="minorHAnsi"/>
                        </w:rPr>
                      </w:pPr>
                      <w:r>
                        <w:rPr>
                          <w:rFonts w:cstheme="minorHAnsi"/>
                        </w:rPr>
                        <w:t>Refer to MSK service</w:t>
                      </w:r>
                    </w:p>
                    <w:p w14:paraId="0D6909C9" w14:textId="2BEB20F9" w:rsidR="005B537C" w:rsidRPr="005F2303" w:rsidRDefault="005B537C" w:rsidP="00E62B58">
                      <w:pPr>
                        <w:spacing w:after="0"/>
                      </w:pPr>
                      <w:r>
                        <w:rPr>
                          <w:rFonts w:cstheme="minorHAnsi"/>
                        </w:rPr>
                        <w:t>(or ortho a</w:t>
                      </w:r>
                      <w:r w:rsidR="00A018B5">
                        <w:rPr>
                          <w:rFonts w:cstheme="minorHAnsi"/>
                        </w:rPr>
                        <w:t>t SGH)</w:t>
                      </w:r>
                    </w:p>
                  </w:txbxContent>
                </v:textbox>
                <w10:wrap type="square"/>
              </v:shape>
            </w:pict>
          </mc:Fallback>
        </mc:AlternateContent>
      </w:r>
      <w:r w:rsidR="00A0269F">
        <w:t>-</w:t>
      </w:r>
      <w:r w:rsidR="00F22E02">
        <w:t>Greater trochanteric pain</w:t>
      </w:r>
    </w:p>
    <w:p w14:paraId="14553401" w14:textId="08172CDF" w:rsidR="00A0269F" w:rsidRDefault="00A0269F" w:rsidP="00A0269F">
      <w:pPr>
        <w:spacing w:after="0"/>
        <w:ind w:firstLine="720"/>
      </w:pPr>
      <w:r>
        <w:t>-S</w:t>
      </w:r>
      <w:r w:rsidR="00F22E02">
        <w:t>houlder impingement</w:t>
      </w:r>
    </w:p>
    <w:p w14:paraId="75809B0C" w14:textId="77777777" w:rsidR="005F2303" w:rsidRDefault="00A0269F" w:rsidP="00A0269F">
      <w:pPr>
        <w:spacing w:after="0"/>
        <w:ind w:firstLine="720"/>
      </w:pPr>
      <w:r>
        <w:t>-P</w:t>
      </w:r>
      <w:r w:rsidR="00A13A4E">
        <w:t>lantar fasciitis</w:t>
      </w:r>
      <w:r>
        <w:t xml:space="preserve"> </w:t>
      </w:r>
    </w:p>
    <w:p w14:paraId="12C701E2" w14:textId="61C9192A" w:rsidR="00A0269F" w:rsidRDefault="005F2303" w:rsidP="00A0269F">
      <w:pPr>
        <w:spacing w:after="0"/>
        <w:ind w:firstLine="720"/>
      </w:pPr>
      <w:r>
        <w:t>-</w:t>
      </w:r>
      <w:r w:rsidR="00A13A4E">
        <w:t>Achilles tendinopathy</w:t>
      </w:r>
    </w:p>
    <w:p w14:paraId="663B7341" w14:textId="5F14A4D9" w:rsidR="001F43EF" w:rsidRDefault="001F43EF" w:rsidP="00A0269F">
      <w:pPr>
        <w:spacing w:after="0"/>
        <w:ind w:firstLine="720"/>
      </w:pPr>
      <w:r>
        <w:t>-Palmar or plantar fibroma</w:t>
      </w:r>
      <w:r w:rsidR="00FB5044">
        <w:t>to</w:t>
      </w:r>
      <w:r>
        <w:t>sis</w:t>
      </w:r>
    </w:p>
    <w:p w14:paraId="708B07C5" w14:textId="06539008" w:rsidR="00A0269F" w:rsidRDefault="00A0269F" w:rsidP="00A0269F">
      <w:pPr>
        <w:spacing w:after="0"/>
        <w:ind w:firstLine="720"/>
      </w:pPr>
      <w:r>
        <w:t>-M</w:t>
      </w:r>
      <w:r w:rsidR="00E22B1A">
        <w:t>uscle hernia</w:t>
      </w:r>
      <w:r w:rsidR="00CB6E2A">
        <w:t xml:space="preserve"> – require orthopaedic referral</w:t>
      </w:r>
    </w:p>
    <w:p w14:paraId="37A044F7" w14:textId="179EFE72" w:rsidR="00DD0C40" w:rsidRDefault="00DD0C40" w:rsidP="00A0269F">
      <w:pPr>
        <w:spacing w:after="0"/>
        <w:ind w:firstLine="720"/>
      </w:pPr>
      <w:r>
        <w:t>-Abdominal wall hernia</w:t>
      </w:r>
      <w:r w:rsidR="00CB6E2A">
        <w:t xml:space="preserve"> – require surgical referral</w:t>
      </w:r>
      <w:r w:rsidR="006400FB">
        <w:t>, see above</w:t>
      </w:r>
    </w:p>
    <w:p w14:paraId="757ACC87" w14:textId="77777777" w:rsidR="001F43EF" w:rsidRDefault="001F43EF" w:rsidP="00A0269F">
      <w:pPr>
        <w:spacing w:after="0"/>
        <w:ind w:firstLine="720"/>
      </w:pPr>
    </w:p>
    <w:p w14:paraId="0FBE820F" w14:textId="05F44126" w:rsidR="00BC2ABF" w:rsidRDefault="00AC49A4" w:rsidP="00A25564">
      <w:pPr>
        <w:spacing w:after="0"/>
      </w:pPr>
      <w:r>
        <w:t>Symptomatic g</w:t>
      </w:r>
      <w:r w:rsidR="00E22B1A">
        <w:t>anglia, Baker</w:t>
      </w:r>
      <w:r w:rsidR="004538C6">
        <w:t>’</w:t>
      </w:r>
      <w:r w:rsidR="00E22B1A">
        <w:t>s</w:t>
      </w:r>
      <w:r w:rsidR="00672D04">
        <w:t xml:space="preserve"> </w:t>
      </w:r>
      <w:r w:rsidR="00487C6A">
        <w:t>cyst</w:t>
      </w:r>
      <w:r w:rsidR="003A2A34">
        <w:t>s</w:t>
      </w:r>
      <w:r w:rsidR="00487C6A">
        <w:t xml:space="preserve"> </w:t>
      </w:r>
      <w:r w:rsidR="00672D04">
        <w:t xml:space="preserve">and Morton’s neuroma may benefit from </w:t>
      </w:r>
      <w:proofErr w:type="gramStart"/>
      <w:r w:rsidR="00672D04">
        <w:t>scan</w:t>
      </w:r>
      <w:proofErr w:type="gramEnd"/>
      <w:r w:rsidR="00672D04">
        <w:t xml:space="preserve"> but </w:t>
      </w:r>
      <w:r w:rsidR="007A614E">
        <w:t>orthopaedic/ MSK service referral is recommended</w:t>
      </w:r>
      <w:r w:rsidR="006308E3">
        <w:t xml:space="preserve"> in the first instance; </w:t>
      </w:r>
      <w:r w:rsidR="007A614E">
        <w:t xml:space="preserve">treatment </w:t>
      </w:r>
      <w:r w:rsidR="00647609">
        <w:t xml:space="preserve">should not be </w:t>
      </w:r>
      <w:r>
        <w:t xml:space="preserve">delayed while awaiting diagnosis. </w:t>
      </w:r>
      <w:proofErr w:type="gramStart"/>
      <w:r w:rsidR="003A2A34">
        <w:t>In particular, cysts/ ganglia</w:t>
      </w:r>
      <w:proofErr w:type="gramEnd"/>
      <w:r w:rsidR="003A2A34">
        <w:t xml:space="preserve"> driven by arthropathy </w:t>
      </w:r>
      <w:r w:rsidR="00D52AC2">
        <w:t xml:space="preserve">in the adjacent joint </w:t>
      </w:r>
      <w:r w:rsidR="003A2A34">
        <w:t>would benefit from MSK service referral rather than imaging.</w:t>
      </w:r>
    </w:p>
    <w:sectPr w:rsidR="00BC2A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651F" w14:textId="77777777" w:rsidR="009E19D4" w:rsidRDefault="009E19D4" w:rsidP="00C60D14">
      <w:pPr>
        <w:spacing w:after="0" w:line="240" w:lineRule="auto"/>
      </w:pPr>
      <w:r>
        <w:separator/>
      </w:r>
    </w:p>
  </w:endnote>
  <w:endnote w:type="continuationSeparator" w:id="0">
    <w:p w14:paraId="4BA805E5" w14:textId="77777777" w:rsidR="009E19D4" w:rsidRDefault="009E19D4" w:rsidP="00C6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40182"/>
      <w:docPartObj>
        <w:docPartGallery w:val="Page Numbers (Bottom of Page)"/>
        <w:docPartUnique/>
      </w:docPartObj>
    </w:sdtPr>
    <w:sdtEndPr>
      <w:rPr>
        <w:noProof/>
      </w:rPr>
    </w:sdtEndPr>
    <w:sdtContent>
      <w:p w14:paraId="5F3CF5E4" w14:textId="6EEFAD0C" w:rsidR="00C60D14" w:rsidRDefault="00C60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17393" w14:textId="77777777" w:rsidR="00C60D14" w:rsidRDefault="00C6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9EC5" w14:textId="77777777" w:rsidR="009E19D4" w:rsidRDefault="009E19D4" w:rsidP="00C60D14">
      <w:pPr>
        <w:spacing w:after="0" w:line="240" w:lineRule="auto"/>
      </w:pPr>
      <w:r>
        <w:separator/>
      </w:r>
    </w:p>
  </w:footnote>
  <w:footnote w:type="continuationSeparator" w:id="0">
    <w:p w14:paraId="67006C71" w14:textId="77777777" w:rsidR="009E19D4" w:rsidRDefault="009E19D4" w:rsidP="00C60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2F20"/>
    <w:multiLevelType w:val="hybridMultilevel"/>
    <w:tmpl w:val="1CF692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26D326E7"/>
    <w:multiLevelType w:val="hybridMultilevel"/>
    <w:tmpl w:val="72B4EA2C"/>
    <w:lvl w:ilvl="0" w:tplc="30DE456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0190311">
    <w:abstractNumId w:val="0"/>
  </w:num>
  <w:num w:numId="2" w16cid:durableId="41478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0FE1"/>
    <w:rsid w:val="00000488"/>
    <w:rsid w:val="000134A0"/>
    <w:rsid w:val="00023220"/>
    <w:rsid w:val="00047F21"/>
    <w:rsid w:val="00064F17"/>
    <w:rsid w:val="000678BC"/>
    <w:rsid w:val="00071057"/>
    <w:rsid w:val="00075FB6"/>
    <w:rsid w:val="00076035"/>
    <w:rsid w:val="00084453"/>
    <w:rsid w:val="00092142"/>
    <w:rsid w:val="000A505D"/>
    <w:rsid w:val="000A6B84"/>
    <w:rsid w:val="000B798B"/>
    <w:rsid w:val="000E759C"/>
    <w:rsid w:val="001370E2"/>
    <w:rsid w:val="001478E3"/>
    <w:rsid w:val="001814E8"/>
    <w:rsid w:val="001A1EAC"/>
    <w:rsid w:val="001A30E0"/>
    <w:rsid w:val="001B152C"/>
    <w:rsid w:val="001C4A03"/>
    <w:rsid w:val="001F43EF"/>
    <w:rsid w:val="00214369"/>
    <w:rsid w:val="00237D53"/>
    <w:rsid w:val="0026481A"/>
    <w:rsid w:val="002B2A7E"/>
    <w:rsid w:val="002C6214"/>
    <w:rsid w:val="002D18F8"/>
    <w:rsid w:val="002E1146"/>
    <w:rsid w:val="0030324D"/>
    <w:rsid w:val="00303D4D"/>
    <w:rsid w:val="00313E4F"/>
    <w:rsid w:val="00324186"/>
    <w:rsid w:val="00326F69"/>
    <w:rsid w:val="00374434"/>
    <w:rsid w:val="00375801"/>
    <w:rsid w:val="003A2A34"/>
    <w:rsid w:val="003B043F"/>
    <w:rsid w:val="003B0740"/>
    <w:rsid w:val="003C5BA0"/>
    <w:rsid w:val="003C79F4"/>
    <w:rsid w:val="003D030B"/>
    <w:rsid w:val="003D2D73"/>
    <w:rsid w:val="003E20C6"/>
    <w:rsid w:val="003F76AC"/>
    <w:rsid w:val="00414246"/>
    <w:rsid w:val="004303B7"/>
    <w:rsid w:val="004518F8"/>
    <w:rsid w:val="00451B82"/>
    <w:rsid w:val="004538C6"/>
    <w:rsid w:val="0046586B"/>
    <w:rsid w:val="00487C6A"/>
    <w:rsid w:val="004A30AC"/>
    <w:rsid w:val="004A537B"/>
    <w:rsid w:val="004C73D5"/>
    <w:rsid w:val="004E309E"/>
    <w:rsid w:val="004F080F"/>
    <w:rsid w:val="00503373"/>
    <w:rsid w:val="00505158"/>
    <w:rsid w:val="00516A52"/>
    <w:rsid w:val="00516DFD"/>
    <w:rsid w:val="005248DF"/>
    <w:rsid w:val="00550A10"/>
    <w:rsid w:val="00586C3E"/>
    <w:rsid w:val="005A2CC6"/>
    <w:rsid w:val="005A327F"/>
    <w:rsid w:val="005A49B2"/>
    <w:rsid w:val="005B537C"/>
    <w:rsid w:val="005D0A96"/>
    <w:rsid w:val="005D0FE1"/>
    <w:rsid w:val="005E7838"/>
    <w:rsid w:val="005F152D"/>
    <w:rsid w:val="005F2303"/>
    <w:rsid w:val="005F2C94"/>
    <w:rsid w:val="005F542E"/>
    <w:rsid w:val="006308E3"/>
    <w:rsid w:val="006400FB"/>
    <w:rsid w:val="00647609"/>
    <w:rsid w:val="00650928"/>
    <w:rsid w:val="00664580"/>
    <w:rsid w:val="00672D04"/>
    <w:rsid w:val="00682394"/>
    <w:rsid w:val="006A7413"/>
    <w:rsid w:val="006D31D3"/>
    <w:rsid w:val="006E070C"/>
    <w:rsid w:val="006E476A"/>
    <w:rsid w:val="00703999"/>
    <w:rsid w:val="00717CEF"/>
    <w:rsid w:val="00725D98"/>
    <w:rsid w:val="00735A27"/>
    <w:rsid w:val="00741652"/>
    <w:rsid w:val="007565D4"/>
    <w:rsid w:val="00766937"/>
    <w:rsid w:val="00777326"/>
    <w:rsid w:val="007A614E"/>
    <w:rsid w:val="007B47B1"/>
    <w:rsid w:val="007C583A"/>
    <w:rsid w:val="007D03F8"/>
    <w:rsid w:val="007D3301"/>
    <w:rsid w:val="007E1FAB"/>
    <w:rsid w:val="00800CBB"/>
    <w:rsid w:val="00844BCE"/>
    <w:rsid w:val="008457CF"/>
    <w:rsid w:val="00862675"/>
    <w:rsid w:val="008845BD"/>
    <w:rsid w:val="00892AD6"/>
    <w:rsid w:val="008A13D1"/>
    <w:rsid w:val="008A29FA"/>
    <w:rsid w:val="008C57A5"/>
    <w:rsid w:val="008D26AD"/>
    <w:rsid w:val="008D540F"/>
    <w:rsid w:val="00900A18"/>
    <w:rsid w:val="009023AF"/>
    <w:rsid w:val="0091787E"/>
    <w:rsid w:val="00921C22"/>
    <w:rsid w:val="009345F9"/>
    <w:rsid w:val="009428B5"/>
    <w:rsid w:val="00947E4F"/>
    <w:rsid w:val="00956541"/>
    <w:rsid w:val="00981F61"/>
    <w:rsid w:val="00995289"/>
    <w:rsid w:val="009C3FFF"/>
    <w:rsid w:val="009D5554"/>
    <w:rsid w:val="009E19D4"/>
    <w:rsid w:val="009F30B2"/>
    <w:rsid w:val="009F551E"/>
    <w:rsid w:val="00A018B5"/>
    <w:rsid w:val="00A01FC7"/>
    <w:rsid w:val="00A0269F"/>
    <w:rsid w:val="00A13A4E"/>
    <w:rsid w:val="00A25564"/>
    <w:rsid w:val="00A27465"/>
    <w:rsid w:val="00A27508"/>
    <w:rsid w:val="00A5728B"/>
    <w:rsid w:val="00A660C5"/>
    <w:rsid w:val="00A845D1"/>
    <w:rsid w:val="00A85538"/>
    <w:rsid w:val="00AA09BA"/>
    <w:rsid w:val="00AC49A4"/>
    <w:rsid w:val="00AD4A09"/>
    <w:rsid w:val="00AD5D8B"/>
    <w:rsid w:val="00B03D62"/>
    <w:rsid w:val="00B07FFA"/>
    <w:rsid w:val="00B1726F"/>
    <w:rsid w:val="00B4236F"/>
    <w:rsid w:val="00B52433"/>
    <w:rsid w:val="00B90E2E"/>
    <w:rsid w:val="00B95C64"/>
    <w:rsid w:val="00BB55AA"/>
    <w:rsid w:val="00BB7B15"/>
    <w:rsid w:val="00BC04CD"/>
    <w:rsid w:val="00BC2ABF"/>
    <w:rsid w:val="00BD4647"/>
    <w:rsid w:val="00BD5331"/>
    <w:rsid w:val="00BF6E68"/>
    <w:rsid w:val="00C03733"/>
    <w:rsid w:val="00C0411A"/>
    <w:rsid w:val="00C2703F"/>
    <w:rsid w:val="00C445AD"/>
    <w:rsid w:val="00C60D14"/>
    <w:rsid w:val="00C77E42"/>
    <w:rsid w:val="00C90EEB"/>
    <w:rsid w:val="00C9122B"/>
    <w:rsid w:val="00C94C64"/>
    <w:rsid w:val="00CA6F79"/>
    <w:rsid w:val="00CB6E2A"/>
    <w:rsid w:val="00CC4FFC"/>
    <w:rsid w:val="00CD09E3"/>
    <w:rsid w:val="00CF07D1"/>
    <w:rsid w:val="00D1086E"/>
    <w:rsid w:val="00D52AC2"/>
    <w:rsid w:val="00D55240"/>
    <w:rsid w:val="00D649A2"/>
    <w:rsid w:val="00D65B39"/>
    <w:rsid w:val="00D74F3E"/>
    <w:rsid w:val="00D81A79"/>
    <w:rsid w:val="00D86B0B"/>
    <w:rsid w:val="00DA0167"/>
    <w:rsid w:val="00DB2450"/>
    <w:rsid w:val="00DB3860"/>
    <w:rsid w:val="00DD0C40"/>
    <w:rsid w:val="00DF7528"/>
    <w:rsid w:val="00E16865"/>
    <w:rsid w:val="00E22500"/>
    <w:rsid w:val="00E22B1A"/>
    <w:rsid w:val="00E26C0E"/>
    <w:rsid w:val="00E373AE"/>
    <w:rsid w:val="00E4279E"/>
    <w:rsid w:val="00E62B58"/>
    <w:rsid w:val="00E7046C"/>
    <w:rsid w:val="00E75647"/>
    <w:rsid w:val="00E925B4"/>
    <w:rsid w:val="00E958FE"/>
    <w:rsid w:val="00EA1E2A"/>
    <w:rsid w:val="00EA74C8"/>
    <w:rsid w:val="00EC12DE"/>
    <w:rsid w:val="00EC55D8"/>
    <w:rsid w:val="00EC76E4"/>
    <w:rsid w:val="00EF0316"/>
    <w:rsid w:val="00EF7E0F"/>
    <w:rsid w:val="00F1762D"/>
    <w:rsid w:val="00F21A6A"/>
    <w:rsid w:val="00F22E02"/>
    <w:rsid w:val="00F31AD4"/>
    <w:rsid w:val="00F3322C"/>
    <w:rsid w:val="00F426C7"/>
    <w:rsid w:val="00F53727"/>
    <w:rsid w:val="00F96317"/>
    <w:rsid w:val="00FA3AA5"/>
    <w:rsid w:val="00FB2E2A"/>
    <w:rsid w:val="00FB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64CF"/>
  <w15:chartTrackingRefBased/>
  <w15:docId w15:val="{8D05ADCA-8740-4644-8552-253249ED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D0F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D0F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D0F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D0F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D0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D0F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D0F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D0F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D0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E1"/>
    <w:rPr>
      <w:rFonts w:eastAsiaTheme="majorEastAsia" w:cstheme="majorBidi"/>
      <w:color w:val="272727" w:themeColor="text1" w:themeTint="D8"/>
    </w:rPr>
  </w:style>
  <w:style w:type="paragraph" w:styleId="Title">
    <w:name w:val="Title"/>
    <w:basedOn w:val="Normal"/>
    <w:next w:val="Normal"/>
    <w:link w:val="TitleChar"/>
    <w:uiPriority w:val="10"/>
    <w:qFormat/>
    <w:rsid w:val="005D0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0FE1"/>
    <w:rPr>
      <w:i/>
      <w:iCs/>
      <w:color w:val="404040" w:themeColor="text1" w:themeTint="BF"/>
    </w:rPr>
  </w:style>
  <w:style w:type="paragraph" w:styleId="ListParagraph">
    <w:name w:val="List Paragraph"/>
    <w:basedOn w:val="Normal"/>
    <w:uiPriority w:val="34"/>
    <w:qFormat/>
    <w:rsid w:val="005D0FE1"/>
    <w:pPr>
      <w:ind w:left="720"/>
      <w:contextualSpacing/>
    </w:pPr>
  </w:style>
  <w:style w:type="character" w:styleId="IntenseEmphasis">
    <w:name w:val="Intense Emphasis"/>
    <w:basedOn w:val="DefaultParagraphFont"/>
    <w:uiPriority w:val="21"/>
    <w:qFormat/>
    <w:rsid w:val="005D0FE1"/>
    <w:rPr>
      <w:i/>
      <w:iCs/>
      <w:color w:val="365F91" w:themeColor="accent1" w:themeShade="BF"/>
    </w:rPr>
  </w:style>
  <w:style w:type="paragraph" w:styleId="IntenseQuote">
    <w:name w:val="Intense Quote"/>
    <w:basedOn w:val="Normal"/>
    <w:next w:val="Normal"/>
    <w:link w:val="IntenseQuoteChar"/>
    <w:uiPriority w:val="30"/>
    <w:qFormat/>
    <w:rsid w:val="005D0F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D0FE1"/>
    <w:rPr>
      <w:i/>
      <w:iCs/>
      <w:color w:val="365F91" w:themeColor="accent1" w:themeShade="BF"/>
    </w:rPr>
  </w:style>
  <w:style w:type="character" w:styleId="IntenseReference">
    <w:name w:val="Intense Reference"/>
    <w:basedOn w:val="DefaultParagraphFont"/>
    <w:uiPriority w:val="32"/>
    <w:qFormat/>
    <w:rsid w:val="005D0FE1"/>
    <w:rPr>
      <w:b/>
      <w:bCs/>
      <w:smallCaps/>
      <w:color w:val="365F91" w:themeColor="accent1" w:themeShade="BF"/>
      <w:spacing w:val="5"/>
    </w:rPr>
  </w:style>
  <w:style w:type="paragraph" w:styleId="Header">
    <w:name w:val="header"/>
    <w:basedOn w:val="Normal"/>
    <w:link w:val="HeaderChar"/>
    <w:uiPriority w:val="99"/>
    <w:unhideWhenUsed/>
    <w:rsid w:val="00C6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D14"/>
  </w:style>
  <w:style w:type="paragraph" w:styleId="Footer">
    <w:name w:val="footer"/>
    <w:basedOn w:val="Normal"/>
    <w:link w:val="FooterChar"/>
    <w:uiPriority w:val="99"/>
    <w:unhideWhenUsed/>
    <w:rsid w:val="00C6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026">
      <w:bodyDiv w:val="1"/>
      <w:marLeft w:val="0"/>
      <w:marRight w:val="0"/>
      <w:marTop w:val="0"/>
      <w:marBottom w:val="0"/>
      <w:divBdr>
        <w:top w:val="none" w:sz="0" w:space="0" w:color="auto"/>
        <w:left w:val="none" w:sz="0" w:space="0" w:color="auto"/>
        <w:bottom w:val="none" w:sz="0" w:space="0" w:color="auto"/>
        <w:right w:val="none" w:sz="0" w:space="0" w:color="auto"/>
      </w:divBdr>
    </w:div>
    <w:div w:id="420954704">
      <w:bodyDiv w:val="1"/>
      <w:marLeft w:val="0"/>
      <w:marRight w:val="0"/>
      <w:marTop w:val="0"/>
      <w:marBottom w:val="0"/>
      <w:divBdr>
        <w:top w:val="none" w:sz="0" w:space="0" w:color="auto"/>
        <w:left w:val="none" w:sz="0" w:space="0" w:color="auto"/>
        <w:bottom w:val="none" w:sz="0" w:space="0" w:color="auto"/>
        <w:right w:val="none" w:sz="0" w:space="0" w:color="auto"/>
      </w:divBdr>
    </w:div>
    <w:div w:id="689185847">
      <w:bodyDiv w:val="1"/>
      <w:marLeft w:val="0"/>
      <w:marRight w:val="0"/>
      <w:marTop w:val="0"/>
      <w:marBottom w:val="0"/>
      <w:divBdr>
        <w:top w:val="none" w:sz="0" w:space="0" w:color="auto"/>
        <w:left w:val="none" w:sz="0" w:space="0" w:color="auto"/>
        <w:bottom w:val="none" w:sz="0" w:space="0" w:color="auto"/>
        <w:right w:val="none" w:sz="0" w:space="0" w:color="auto"/>
      </w:divBdr>
    </w:div>
    <w:div w:id="20439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John</dc:creator>
  <cp:keywords/>
  <dc:description/>
  <cp:lastModifiedBy>FERRIER, John (YORK AND SCARBOROUGH TEACHING HOSPITALS NHS FOUNDATION TRUST)</cp:lastModifiedBy>
  <cp:revision>7</cp:revision>
  <dcterms:created xsi:type="dcterms:W3CDTF">2026-02-18T13:59:00Z</dcterms:created>
  <dcterms:modified xsi:type="dcterms:W3CDTF">2026-03-17T11:26:00Z</dcterms:modified>
</cp:coreProperties>
</file>