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1573" w14:textId="77777777" w:rsidR="0022086C" w:rsidRPr="0022086C" w:rsidRDefault="0022086C" w:rsidP="0022086C">
      <w:r w:rsidRPr="0022086C">
        <w:rPr>
          <w:b/>
          <w:bCs/>
        </w:rPr>
        <w:t>Diagnosing Diabetes Guidance – Potential URGENT scenarios</w:t>
      </w:r>
    </w:p>
    <w:p w14:paraId="1B7F925B" w14:textId="77777777" w:rsidR="0022086C" w:rsidRPr="0022086C" w:rsidRDefault="0022086C" w:rsidP="0022086C">
      <w:r w:rsidRPr="0022086C">
        <w:t> </w:t>
      </w:r>
    </w:p>
    <w:p w14:paraId="081E5BAB" w14:textId="77777777" w:rsidR="0022086C" w:rsidRPr="0022086C" w:rsidRDefault="0022086C" w:rsidP="0022086C">
      <w:r w:rsidRPr="0022086C">
        <w:t>Any clinical suspicion that the patient may require insulin which should include – young person. unwell, short duration symptoms, marked weight loss, steroid or antipsychotic medication, pancreatic disease- either in isolation or combination.</w:t>
      </w:r>
    </w:p>
    <w:p w14:paraId="712090CE" w14:textId="77777777" w:rsidR="00AD1CA4" w:rsidRDefault="00AD1C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2086C" w14:paraId="623C275F" w14:textId="77777777" w:rsidTr="00BA49C7">
        <w:tc>
          <w:tcPr>
            <w:tcW w:w="13948" w:type="dxa"/>
            <w:gridSpan w:val="4"/>
          </w:tcPr>
          <w:p w14:paraId="1247A972" w14:textId="2D37F339" w:rsidR="0022086C" w:rsidRDefault="0022086C" w:rsidP="0022086C">
            <w:pPr>
              <w:jc w:val="center"/>
            </w:pPr>
            <w:r w:rsidRPr="0022086C">
              <w:rPr>
                <w:b/>
                <w:bCs/>
              </w:rPr>
              <w:t>Check random capillary blood glucose and </w:t>
            </w:r>
            <w:proofErr w:type="spellStart"/>
            <w:r w:rsidRPr="0022086C">
              <w:rPr>
                <w:b/>
                <w:bCs/>
              </w:rPr>
              <w:t>dipstix</w:t>
            </w:r>
            <w:proofErr w:type="spellEnd"/>
            <w:r w:rsidRPr="0022086C">
              <w:rPr>
                <w:b/>
                <w:bCs/>
              </w:rPr>
              <w:t xml:space="preserve"> urine for ketones</w:t>
            </w:r>
          </w:p>
        </w:tc>
      </w:tr>
      <w:tr w:rsidR="0022086C" w14:paraId="7AFD2438" w14:textId="77777777" w:rsidTr="00FC212C"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 w14:paraId="38BF40C1" w14:textId="52FD3436" w:rsidR="0022086C" w:rsidRDefault="0022086C" w:rsidP="0022086C">
            <w:r>
              <w:rPr>
                <w:rStyle w:val="Strong"/>
                <w:rFonts w:ascii="Helvetica" w:hAnsi="Helvetica" w:cs="Helvetica"/>
                <w:color w:val="000000"/>
              </w:rPr>
              <w:t>&lt;</w:t>
            </w:r>
            <w:r>
              <w:rPr>
                <w:rStyle w:val="Strong"/>
                <w:rFonts w:ascii="Helvetica" w:hAnsi="Helvetica" w:cs="Helvetica"/>
                <w:color w:val="000000"/>
                <w:spacing w:val="1"/>
              </w:rPr>
              <w:t>7</w:t>
            </w:r>
            <w:r>
              <w:rPr>
                <w:rStyle w:val="Strong"/>
                <w:rFonts w:ascii="Helvetica" w:hAnsi="Helvetica" w:cs="Helvetica"/>
                <w:color w:val="000000"/>
                <w:spacing w:val="-4"/>
              </w:rPr>
              <w:t>.</w:t>
            </w:r>
            <w:r>
              <w:rPr>
                <w:rStyle w:val="Strong"/>
                <w:rFonts w:ascii="Helvetica" w:hAnsi="Helvetica" w:cs="Helvetica"/>
                <w:color w:val="000000"/>
              </w:rPr>
              <w:t>0</w:t>
            </w:r>
            <w:r>
              <w:rPr>
                <w:rStyle w:val="Strong"/>
                <w:rFonts w:ascii="Helvetica" w:hAnsi="Helvetica" w:cs="Helvetica"/>
                <w:color w:val="000000"/>
                <w:spacing w:val="-2"/>
              </w:rPr>
              <w:t>m</w:t>
            </w:r>
            <w:r>
              <w:rPr>
                <w:rStyle w:val="Strong"/>
                <w:rFonts w:ascii="Helvetica" w:hAnsi="Helvetica" w:cs="Helvetica"/>
                <w:color w:val="000000"/>
                <w:spacing w:val="-4"/>
              </w:rPr>
              <w:t>m</w:t>
            </w:r>
            <w:r>
              <w:rPr>
                <w:rStyle w:val="Strong"/>
                <w:rFonts w:ascii="Helvetica" w:hAnsi="Helvetica" w:cs="Helvetica"/>
                <w:color w:val="000000"/>
              </w:rPr>
              <w:t>ol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C23EC67" w14:textId="56C8CE0A" w:rsidR="0022086C" w:rsidRDefault="0022086C" w:rsidP="0022086C">
            <w:r>
              <w:rPr>
                <w:rStyle w:val="Strong"/>
                <w:rFonts w:ascii="Helvetica" w:hAnsi="Helvetica" w:cs="Helvetica"/>
                <w:color w:val="000000"/>
              </w:rPr>
              <w:t>7.0</w:t>
            </w:r>
            <w:r>
              <w:rPr>
                <w:rStyle w:val="Strong"/>
                <w:rFonts w:ascii="Helvetica" w:hAnsi="Helvetica" w:cs="Helvetica"/>
                <w:color w:val="000000"/>
                <w:spacing w:val="-3"/>
              </w:rPr>
              <w:t>-</w:t>
            </w:r>
            <w:r>
              <w:rPr>
                <w:rStyle w:val="Strong"/>
                <w:rFonts w:ascii="Helvetica" w:hAnsi="Helvetica" w:cs="Helvetica"/>
                <w:color w:val="000000"/>
                <w:spacing w:val="-2"/>
              </w:rPr>
              <w:t>1</w:t>
            </w:r>
            <w:r>
              <w:rPr>
                <w:rStyle w:val="Strong"/>
                <w:rFonts w:ascii="Helvetica" w:hAnsi="Helvetica" w:cs="Helvetica"/>
                <w:color w:val="000000"/>
              </w:rPr>
              <w:t>1.0</w:t>
            </w:r>
            <w:r>
              <w:rPr>
                <w:rStyle w:val="Strong"/>
                <w:rFonts w:ascii="Helvetica" w:hAnsi="Helvetica" w:cs="Helvetica"/>
                <w:color w:val="000000"/>
                <w:spacing w:val="-3"/>
              </w:rPr>
              <w:t>m</w:t>
            </w:r>
            <w:r>
              <w:rPr>
                <w:rStyle w:val="Strong"/>
                <w:rFonts w:ascii="Helvetica" w:hAnsi="Helvetica" w:cs="Helvetica"/>
                <w:color w:val="000000"/>
                <w:spacing w:val="-4"/>
              </w:rPr>
              <w:t>m</w:t>
            </w:r>
            <w:r>
              <w:rPr>
                <w:rStyle w:val="Strong"/>
                <w:rFonts w:ascii="Helvetica" w:hAnsi="Helvetica" w:cs="Helvetica"/>
                <w:color w:val="000000"/>
              </w:rPr>
              <w:t>ol</w:t>
            </w:r>
          </w:p>
        </w:tc>
        <w:tc>
          <w:tcPr>
            <w:tcW w:w="69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9493"/>
          </w:tcPr>
          <w:p w14:paraId="57C350BC" w14:textId="709527FA" w:rsidR="0022086C" w:rsidRDefault="0022086C" w:rsidP="0022086C">
            <w:r>
              <w:rPr>
                <w:rStyle w:val="Strong"/>
                <w:rFonts w:ascii="Helvetica" w:hAnsi="Helvetica" w:cs="Helvetica"/>
                <w:color w:val="000000"/>
                <w:spacing w:val="-1"/>
              </w:rPr>
              <w:t>≥</w:t>
            </w:r>
            <w:r>
              <w:rPr>
                <w:rStyle w:val="Strong"/>
                <w:rFonts w:ascii="Helvetica" w:hAnsi="Helvetica" w:cs="Helvetica"/>
                <w:color w:val="000000"/>
              </w:rPr>
              <w:t>11.1</w:t>
            </w:r>
            <w:r>
              <w:rPr>
                <w:rStyle w:val="Strong"/>
                <w:rFonts w:ascii="Helvetica" w:hAnsi="Helvetica" w:cs="Helvetica"/>
                <w:color w:val="000000"/>
                <w:spacing w:val="-3"/>
              </w:rPr>
              <w:t>m</w:t>
            </w:r>
            <w:r>
              <w:rPr>
                <w:rStyle w:val="Strong"/>
                <w:rFonts w:ascii="Helvetica" w:hAnsi="Helvetica" w:cs="Helvetica"/>
                <w:color w:val="000000"/>
                <w:spacing w:val="-4"/>
              </w:rPr>
              <w:t>m</w:t>
            </w:r>
            <w:r>
              <w:rPr>
                <w:rStyle w:val="Strong"/>
                <w:rFonts w:ascii="Helvetica" w:hAnsi="Helvetica" w:cs="Helvetica"/>
                <w:color w:val="000000"/>
              </w:rPr>
              <w:t>ol *</w:t>
            </w:r>
          </w:p>
        </w:tc>
      </w:tr>
      <w:tr w:rsidR="0022086C" w14:paraId="366CA9F7" w14:textId="77777777" w:rsidTr="00492FCF"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5C637612" w14:textId="4380EA9F" w:rsidR="0022086C" w:rsidRDefault="0022086C" w:rsidP="0022086C">
            <w:pPr>
              <w:jc w:val="center"/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Di</w:t>
            </w:r>
            <w:r>
              <w:rPr>
                <w:rFonts w:ascii="Helvetica" w:hAnsi="Helvetica" w:cs="Helvetica"/>
                <w:color w:val="000000"/>
                <w:spacing w:val="-1"/>
                <w:sz w:val="21"/>
                <w:szCs w:val="21"/>
              </w:rPr>
              <w:t>a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</w:t>
            </w:r>
            <w:r>
              <w:rPr>
                <w:rFonts w:ascii="Helvetica" w:hAnsi="Helvetica" w:cs="Helvetica"/>
                <w:color w:val="000000"/>
                <w:spacing w:val="-1"/>
                <w:sz w:val="21"/>
                <w:szCs w:val="21"/>
              </w:rPr>
              <w:t>e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tes ve</w:t>
            </w:r>
            <w:r>
              <w:rPr>
                <w:rFonts w:ascii="Helvetica" w:hAnsi="Helvetica" w:cs="Helvetica"/>
                <w:color w:val="000000"/>
                <w:spacing w:val="3"/>
                <w:sz w:val="21"/>
                <w:szCs w:val="21"/>
              </w:rPr>
              <w:t>r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y unlik</w:t>
            </w:r>
            <w:r>
              <w:rPr>
                <w:rFonts w:ascii="Helvetica" w:hAnsi="Helvetica" w:cs="Helvetica"/>
                <w:color w:val="000000"/>
                <w:spacing w:val="-1"/>
                <w:sz w:val="21"/>
                <w:szCs w:val="21"/>
              </w:rPr>
              <w:t>e</w:t>
            </w:r>
            <w:r>
              <w:rPr>
                <w:rFonts w:ascii="Helvetica" w:hAnsi="Helvetica" w:cs="Helvetica"/>
                <w:color w:val="000000"/>
                <w:spacing w:val="2"/>
                <w:sz w:val="21"/>
                <w:szCs w:val="21"/>
              </w:rPr>
              <w:t>l</w:t>
            </w:r>
            <w:r>
              <w:rPr>
                <w:rFonts w:ascii="Helvetica" w:hAnsi="Helvetica" w:cs="Helvetica"/>
                <w:color w:val="000000"/>
                <w:spacing w:val="-5"/>
                <w:sz w:val="21"/>
                <w:szCs w:val="21"/>
              </w:rPr>
              <w:t>y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EB588F2" w14:textId="35309B0D" w:rsidR="0022086C" w:rsidRDefault="0022086C" w:rsidP="0022086C">
            <w:pPr>
              <w:pStyle w:val="NormalWeb"/>
              <w:spacing w:before="3" w:beforeAutospacing="0" w:after="150" w:afterAutospacing="0" w:line="110" w:lineRule="atLeast"/>
              <w:jc w:val="center"/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Possible di</w:t>
            </w:r>
            <w:r>
              <w:rPr>
                <w:rFonts w:ascii="Helvetica" w:hAnsi="Helvetica" w:cs="Helvetica"/>
                <w:color w:val="000000"/>
                <w:spacing w:val="-1"/>
                <w:sz w:val="21"/>
                <w:szCs w:val="21"/>
              </w:rPr>
              <w:t>a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b</w:t>
            </w:r>
            <w:r>
              <w:rPr>
                <w:rFonts w:ascii="Helvetica" w:hAnsi="Helvetica" w:cs="Helvetica"/>
                <w:color w:val="000000"/>
                <w:spacing w:val="-1"/>
                <w:sz w:val="21"/>
                <w:szCs w:val="21"/>
              </w:rPr>
              <w:t>e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t>tes.</w:t>
            </w:r>
          </w:p>
        </w:tc>
        <w:tc>
          <w:tcPr>
            <w:tcW w:w="69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35667393" w14:textId="24B90695" w:rsidR="0022086C" w:rsidRDefault="0022086C" w:rsidP="0022086C">
            <w:pPr>
              <w:pStyle w:val="NormalWeb"/>
              <w:spacing w:before="8" w:beforeAutospacing="0" w:after="150" w:afterAutospacing="0" w:line="110" w:lineRule="atLeast"/>
              <w:jc w:val="center"/>
            </w:pPr>
            <w:r>
              <w:rPr>
                <w:rStyle w:val="Strong"/>
                <w:rFonts w:ascii="Helvetica" w:eastAsiaTheme="majorEastAsia" w:hAnsi="Helvetica" w:cs="Helvetica"/>
                <w:color w:val="000000"/>
                <w:spacing w:val="-2"/>
              </w:rPr>
              <w:t>C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</w:rPr>
              <w:t>HE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  <w:spacing w:val="-2"/>
              </w:rPr>
              <w:t>C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</w:rPr>
              <w:t>K URINE KETO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  <w:spacing w:val="-2"/>
              </w:rPr>
              <w:t>N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</w:rPr>
              <w:t>ES 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  <w:spacing w:val="-2"/>
              </w:rPr>
              <w:t>w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</w:rPr>
              <w:t>it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  <w:spacing w:val="-3"/>
              </w:rPr>
              <w:t>h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</w:rPr>
              <w:t>out de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  <w:spacing w:val="-2"/>
              </w:rPr>
              <w:t>la</w:t>
            </w:r>
            <w:r>
              <w:rPr>
                <w:rStyle w:val="Strong"/>
                <w:rFonts w:ascii="Helvetica" w:eastAsiaTheme="majorEastAsia" w:hAnsi="Helvetica" w:cs="Helvetica"/>
                <w:color w:val="000000"/>
              </w:rPr>
              <w:t>y</w:t>
            </w:r>
          </w:p>
        </w:tc>
      </w:tr>
      <w:tr w:rsidR="0022086C" w14:paraId="2847B98D" w14:textId="77777777" w:rsidTr="0022086C">
        <w:tc>
          <w:tcPr>
            <w:tcW w:w="3487" w:type="dxa"/>
          </w:tcPr>
          <w:p w14:paraId="3CE48549" w14:textId="77777777" w:rsidR="0022086C" w:rsidRPr="0022086C" w:rsidRDefault="0022086C" w:rsidP="0022086C">
            <w:r w:rsidRPr="0022086C">
              <w:t>Send laboratory venous glucose sample to confirm.</w:t>
            </w:r>
          </w:p>
          <w:p w14:paraId="25DA12AB" w14:textId="77777777" w:rsidR="0022086C" w:rsidRPr="0022086C" w:rsidRDefault="0022086C" w:rsidP="0022086C">
            <w:r w:rsidRPr="0022086C">
              <w:t> </w:t>
            </w:r>
          </w:p>
          <w:p w14:paraId="3A0AF919" w14:textId="77777777" w:rsidR="0022086C" w:rsidRPr="0022086C" w:rsidRDefault="0022086C" w:rsidP="0022086C">
            <w:r w:rsidRPr="0022086C">
              <w:t>Re-assess symptoms and consider other potential causes.</w:t>
            </w:r>
          </w:p>
          <w:p w14:paraId="01C1413A" w14:textId="77777777" w:rsidR="0022086C" w:rsidRDefault="0022086C"/>
        </w:tc>
        <w:tc>
          <w:tcPr>
            <w:tcW w:w="3487" w:type="dxa"/>
          </w:tcPr>
          <w:p w14:paraId="3415C826" w14:textId="77777777" w:rsidR="0022086C" w:rsidRPr="0022086C" w:rsidRDefault="0022086C" w:rsidP="0022086C">
            <w:r w:rsidRPr="0022086C">
              <w:t>Send laboratory venous sample.</w:t>
            </w:r>
          </w:p>
          <w:p w14:paraId="42AC179F" w14:textId="77777777" w:rsidR="0022086C" w:rsidRPr="0022086C" w:rsidRDefault="0022086C" w:rsidP="0022086C">
            <w:r w:rsidRPr="0022086C">
              <w:t xml:space="preserve">In presence of </w:t>
            </w:r>
            <w:proofErr w:type="spellStart"/>
            <w:r w:rsidRPr="0022086C">
              <w:t>Sx</w:t>
            </w:r>
            <w:proofErr w:type="spellEnd"/>
          </w:p>
          <w:p w14:paraId="5F1302FB" w14:textId="77777777" w:rsidR="0022086C" w:rsidRPr="0022086C" w:rsidRDefault="0022086C" w:rsidP="0022086C">
            <w:r w:rsidRPr="0022086C">
              <w:t> </w:t>
            </w:r>
          </w:p>
          <w:p w14:paraId="77663750" w14:textId="77777777" w:rsidR="0022086C" w:rsidRPr="0022086C" w:rsidRDefault="0022086C" w:rsidP="0022086C">
            <w:r w:rsidRPr="0022086C">
              <w:t>Lab glucose is diagnostic if:</w:t>
            </w:r>
          </w:p>
          <w:p w14:paraId="2764F9FD" w14:textId="77777777" w:rsidR="0022086C" w:rsidRPr="0022086C" w:rsidRDefault="0022086C" w:rsidP="0022086C">
            <w:r w:rsidRPr="0022086C">
              <w:t> </w:t>
            </w:r>
          </w:p>
          <w:p w14:paraId="67D7378C" w14:textId="77777777" w:rsidR="0022086C" w:rsidRPr="0022086C" w:rsidRDefault="0022086C" w:rsidP="0022086C">
            <w:r w:rsidRPr="0022086C">
              <w:t>Fasting ≥7.0mmol/L</w:t>
            </w:r>
          </w:p>
          <w:p w14:paraId="467AF17E" w14:textId="77777777" w:rsidR="0022086C" w:rsidRDefault="0022086C" w:rsidP="0022086C">
            <w:r w:rsidRPr="0022086C">
              <w:t>Random ≥11.1mmol/L</w:t>
            </w:r>
          </w:p>
          <w:p w14:paraId="7676F34F" w14:textId="77777777" w:rsidR="0022086C" w:rsidRDefault="0022086C" w:rsidP="0022086C"/>
          <w:p w14:paraId="40CE4664" w14:textId="5619275E" w:rsidR="0022086C" w:rsidRPr="0022086C" w:rsidRDefault="0022086C" w:rsidP="0022086C">
            <w:r w:rsidRPr="0022086C">
              <w:rPr>
                <w:highlight w:val="yellow"/>
              </w:rPr>
              <w:t>Follow traditional diagnostic criteria which may include the need for OGTT.</w:t>
            </w:r>
          </w:p>
          <w:p w14:paraId="6DEFEF09" w14:textId="77777777" w:rsidR="0022086C" w:rsidRDefault="0022086C"/>
        </w:tc>
        <w:tc>
          <w:tcPr>
            <w:tcW w:w="3487" w:type="dxa"/>
          </w:tcPr>
          <w:p w14:paraId="251DBB71" w14:textId="77777777" w:rsidR="0022086C" w:rsidRPr="0022086C" w:rsidRDefault="0022086C" w:rsidP="0022086C">
            <w:r w:rsidRPr="0022086C">
              <w:rPr>
                <w:b/>
                <w:bCs/>
              </w:rPr>
              <w:t>Ketones 2+ or more</w:t>
            </w:r>
          </w:p>
          <w:p w14:paraId="00AC92BB" w14:textId="77777777" w:rsidR="0022086C" w:rsidRPr="0022086C" w:rsidRDefault="0022086C" w:rsidP="0022086C">
            <w:r w:rsidRPr="0022086C">
              <w:rPr>
                <w:b/>
                <w:bCs/>
              </w:rPr>
              <w:t>AND/OR acutely unwell/vomiting</w:t>
            </w:r>
          </w:p>
          <w:p w14:paraId="7785B7A4" w14:textId="77777777" w:rsidR="0022086C" w:rsidRPr="0022086C" w:rsidRDefault="0022086C" w:rsidP="0022086C">
            <w:r w:rsidRPr="0022086C">
              <w:t> </w:t>
            </w:r>
          </w:p>
          <w:p w14:paraId="5FE3191F" w14:textId="77777777" w:rsidR="0022086C" w:rsidRPr="0022086C" w:rsidRDefault="0022086C" w:rsidP="0022086C">
            <w:r w:rsidRPr="0022086C">
              <w:t>Severely unwell – arrange direct admission.</w:t>
            </w:r>
          </w:p>
          <w:p w14:paraId="26479A19" w14:textId="77777777" w:rsidR="0022086C" w:rsidRPr="0022086C" w:rsidRDefault="0022086C" w:rsidP="0022086C">
            <w:r w:rsidRPr="0022086C">
              <w:t> </w:t>
            </w:r>
          </w:p>
          <w:p w14:paraId="23EF70C6" w14:textId="77777777" w:rsidR="0022086C" w:rsidRPr="0022086C" w:rsidRDefault="0022086C" w:rsidP="0022086C">
            <w:r w:rsidRPr="0022086C">
              <w:rPr>
                <w:b/>
                <w:bCs/>
              </w:rPr>
              <w:t>Otherwise</w:t>
            </w:r>
          </w:p>
          <w:p w14:paraId="33C61E8B" w14:textId="77777777" w:rsidR="0022086C" w:rsidRPr="0022086C" w:rsidRDefault="0022086C" w:rsidP="0022086C">
            <w:r w:rsidRPr="0022086C">
              <w:t>1) Contact Diabetes Team (OOH on-call via switch) same day.</w:t>
            </w:r>
          </w:p>
          <w:p w14:paraId="528E8054" w14:textId="77777777" w:rsidR="0022086C" w:rsidRPr="0022086C" w:rsidRDefault="0022086C" w:rsidP="0022086C">
            <w:r w:rsidRPr="0022086C">
              <w:rPr>
                <w:b/>
                <w:bCs/>
              </w:rPr>
              <w:t>AND</w:t>
            </w:r>
          </w:p>
          <w:p w14:paraId="3FDDFB72" w14:textId="77777777" w:rsidR="0022086C" w:rsidRPr="0022086C" w:rsidRDefault="0022086C" w:rsidP="0022086C">
            <w:r w:rsidRPr="0022086C">
              <w:t>2) Send urgent lab venous glucose with BCP</w:t>
            </w:r>
          </w:p>
          <w:p w14:paraId="42041197" w14:textId="77777777" w:rsidR="0022086C" w:rsidRPr="0022086C" w:rsidRDefault="0022086C" w:rsidP="0022086C">
            <w:r w:rsidRPr="0022086C">
              <w:t>Do not wait for lab results before contacting diabetes team.</w:t>
            </w:r>
          </w:p>
          <w:p w14:paraId="28B2297B" w14:textId="77777777" w:rsidR="0022086C" w:rsidRDefault="0022086C"/>
        </w:tc>
        <w:tc>
          <w:tcPr>
            <w:tcW w:w="3487" w:type="dxa"/>
          </w:tcPr>
          <w:p w14:paraId="2740600E" w14:textId="77777777" w:rsidR="0022086C" w:rsidRPr="0022086C" w:rsidRDefault="0022086C" w:rsidP="0022086C">
            <w:r w:rsidRPr="0022086C">
              <w:rPr>
                <w:b/>
                <w:bCs/>
              </w:rPr>
              <w:t>Ketones Neg to 1+</w:t>
            </w:r>
          </w:p>
          <w:p w14:paraId="6BB1D1E0" w14:textId="77777777" w:rsidR="0022086C" w:rsidRPr="0022086C" w:rsidRDefault="0022086C" w:rsidP="0022086C">
            <w:r w:rsidRPr="0022086C">
              <w:rPr>
                <w:b/>
                <w:bCs/>
              </w:rPr>
              <w:t>Eating and drinking, well</w:t>
            </w:r>
          </w:p>
          <w:p w14:paraId="1FCD6F38" w14:textId="77777777" w:rsidR="0022086C" w:rsidRPr="0022086C" w:rsidRDefault="0022086C" w:rsidP="0022086C">
            <w:r w:rsidRPr="0022086C">
              <w:t> </w:t>
            </w:r>
          </w:p>
          <w:p w14:paraId="2730801A" w14:textId="77777777" w:rsidR="0022086C" w:rsidRPr="0022086C" w:rsidRDefault="0022086C" w:rsidP="0022086C">
            <w:r w:rsidRPr="0022086C">
              <w:t>1) Send lab venous glucose to confirm.</w:t>
            </w:r>
          </w:p>
          <w:p w14:paraId="0AAF273C" w14:textId="77777777" w:rsidR="0022086C" w:rsidRPr="0022086C" w:rsidRDefault="0022086C" w:rsidP="0022086C">
            <w:r w:rsidRPr="0022086C">
              <w:t>2) Advise avoid sugar containing drinks including fruit juices.</w:t>
            </w:r>
          </w:p>
          <w:p w14:paraId="7C80EEB4" w14:textId="77777777" w:rsidR="0022086C" w:rsidRPr="0022086C" w:rsidRDefault="0022086C" w:rsidP="0022086C">
            <w:r w:rsidRPr="0022086C">
              <w:t xml:space="preserve">3) Lab result ≥11.1 mmol diagnostic in presence of </w:t>
            </w:r>
            <w:proofErr w:type="spellStart"/>
            <w:r w:rsidRPr="0022086C">
              <w:t>Sx</w:t>
            </w:r>
            <w:proofErr w:type="spellEnd"/>
            <w:r w:rsidRPr="0022086C">
              <w:t>.</w:t>
            </w:r>
          </w:p>
          <w:p w14:paraId="79525B49" w14:textId="77777777" w:rsidR="0022086C" w:rsidRPr="0022086C" w:rsidRDefault="0022086C" w:rsidP="0022086C">
            <w:r w:rsidRPr="0022086C">
              <w:t>4) If lab result &lt;11.1 arrange fasting glucose and follow traditional diagnostic criteria.</w:t>
            </w:r>
          </w:p>
          <w:p w14:paraId="6784EEF0" w14:textId="77777777" w:rsidR="0022086C" w:rsidRPr="0022086C" w:rsidRDefault="0022086C" w:rsidP="0022086C">
            <w:r w:rsidRPr="0022086C">
              <w:t> </w:t>
            </w:r>
          </w:p>
          <w:p w14:paraId="71CF4AEC" w14:textId="77777777" w:rsidR="0022086C" w:rsidRPr="0022086C" w:rsidRDefault="0022086C" w:rsidP="0022086C">
            <w:r w:rsidRPr="0022086C">
              <w:t>Contact Diabetes team if urgent treatment with insulin is likely based on clinical judgement.</w:t>
            </w:r>
          </w:p>
          <w:p w14:paraId="55EE0BCE" w14:textId="77777777" w:rsidR="0022086C" w:rsidRDefault="0022086C"/>
        </w:tc>
      </w:tr>
      <w:tr w:rsidR="0022086C" w14:paraId="293694D4" w14:textId="77777777" w:rsidTr="007E190A">
        <w:tc>
          <w:tcPr>
            <w:tcW w:w="13948" w:type="dxa"/>
            <w:gridSpan w:val="4"/>
          </w:tcPr>
          <w:p w14:paraId="079CE62A" w14:textId="369F94D4" w:rsidR="0022086C" w:rsidRDefault="0022086C">
            <w:r w:rsidRPr="0022086C">
              <w:rPr>
                <w:b/>
                <w:bCs/>
              </w:rPr>
              <w:lastRenderedPageBreak/>
              <w:t>If symptoms persist be prepared to retest</w:t>
            </w:r>
          </w:p>
        </w:tc>
      </w:tr>
    </w:tbl>
    <w:p w14:paraId="30CAF172" w14:textId="77777777" w:rsidR="0022086C" w:rsidRDefault="0022086C"/>
    <w:p w14:paraId="16B3C952" w14:textId="77777777" w:rsidR="0022086C" w:rsidRPr="0022086C" w:rsidRDefault="0022086C" w:rsidP="0022086C">
      <w:pPr>
        <w:jc w:val="center"/>
        <w:rPr>
          <w:b/>
          <w:bCs/>
        </w:rPr>
      </w:pPr>
      <w:r w:rsidRPr="0022086C">
        <w:rPr>
          <w:b/>
          <w:bCs/>
        </w:rPr>
        <w:t>*Any capillary blood glucose reading of &gt;20mmol in previously undiagnosed DM – contact the diabetes team the same day for advice.</w:t>
      </w:r>
    </w:p>
    <w:p w14:paraId="0A3F0BDC" w14:textId="77777777" w:rsidR="0022086C" w:rsidRPr="0022086C" w:rsidRDefault="0022086C" w:rsidP="0022086C">
      <w:pPr>
        <w:jc w:val="center"/>
        <w:rPr>
          <w:b/>
          <w:bCs/>
        </w:rPr>
      </w:pPr>
      <w:r w:rsidRPr="0022086C">
        <w:rPr>
          <w:b/>
          <w:bCs/>
        </w:rPr>
        <w:t>Unless the person is acutely unwell direct hospital admission is usually avoidable</w:t>
      </w:r>
    </w:p>
    <w:p w14:paraId="2FB6ABD3" w14:textId="77777777" w:rsidR="0022086C" w:rsidRPr="0022086C" w:rsidRDefault="0022086C" w:rsidP="0022086C">
      <w:pPr>
        <w:jc w:val="center"/>
        <w:rPr>
          <w:b/>
          <w:bCs/>
        </w:rPr>
      </w:pPr>
      <w:r w:rsidRPr="0022086C">
        <w:rPr>
          <w:b/>
          <w:bCs/>
        </w:rPr>
        <w:t>NB – This guidance is not designed to replace clinical judgement and does not cover rarer presentations of diabetes.</w:t>
      </w:r>
    </w:p>
    <w:p w14:paraId="0DEA7A46" w14:textId="77777777" w:rsidR="0022086C" w:rsidRPr="0022086C" w:rsidRDefault="0022086C" w:rsidP="0022086C">
      <w:pPr>
        <w:jc w:val="center"/>
        <w:rPr>
          <w:b/>
          <w:bCs/>
        </w:rPr>
      </w:pPr>
      <w:r w:rsidRPr="0022086C">
        <w:rPr>
          <w:b/>
          <w:bCs/>
        </w:rPr>
        <w:t>If there is concern about a patient further advice should be sought.</w:t>
      </w:r>
    </w:p>
    <w:p w14:paraId="710FDD91" w14:textId="77777777" w:rsidR="0022086C" w:rsidRDefault="0022086C"/>
    <w:sectPr w:rsidR="0022086C" w:rsidSect="002208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C"/>
    <w:rsid w:val="0022086C"/>
    <w:rsid w:val="0033018B"/>
    <w:rsid w:val="00AD1CA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86096"/>
  <w15:chartTrackingRefBased/>
  <w15:docId w15:val="{7B2D3F3B-1B74-4E04-BFDA-EC6ED772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8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086C"/>
    <w:rPr>
      <w:b/>
      <w:bCs/>
    </w:rPr>
  </w:style>
  <w:style w:type="paragraph" w:styleId="NormalWeb">
    <w:name w:val="Normal (Web)"/>
    <w:basedOn w:val="Normal"/>
    <w:uiPriority w:val="99"/>
    <w:unhideWhenUsed/>
    <w:rsid w:val="0022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208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HEPWORTH, Gary (NHS HUMBER AND NORTH YORKSHIRE ICB - 03F)</dc:creator>
  <cp:keywords/>
  <dc:description/>
  <cp:lastModifiedBy>HEPWORTH, Gary (NHS HUMBER AND NORTH YORKSHIRE ICB - 03F)</cp:lastModifiedBy>
  <cp:revision>1</cp:revision>
  <dcterms:created xsi:type="dcterms:W3CDTF">2025-07-04T08:18:00Z</dcterms:created>
  <dcterms:modified xsi:type="dcterms:W3CDTF">2025-07-04T08:26:00Z</dcterms:modified>
</cp:coreProperties>
</file>