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845F9" w14:textId="688E3350" w:rsidR="00AA2695" w:rsidRPr="00243CD0" w:rsidRDefault="00965B64" w:rsidP="00E134B4">
      <w:pPr>
        <w:rPr>
          <w:rFonts w:ascii="Arial" w:hAnsi="Arial" w:cs="Arial"/>
          <w:b/>
          <w:u w:val="single"/>
        </w:rPr>
      </w:pPr>
      <w:r w:rsidRPr="00243CD0">
        <w:rPr>
          <w:rFonts w:ascii="Arial" w:hAnsi="Arial" w:cs="Arial"/>
          <w:b/>
          <w:u w:val="single"/>
        </w:rPr>
        <w:t xml:space="preserve">CHCP </w:t>
      </w:r>
      <w:r w:rsidR="007857F5" w:rsidRPr="00243CD0">
        <w:rPr>
          <w:rFonts w:ascii="Arial" w:hAnsi="Arial" w:cs="Arial"/>
          <w:b/>
          <w:u w:val="single"/>
        </w:rPr>
        <w:t xml:space="preserve">HULL &amp; </w:t>
      </w:r>
      <w:r w:rsidRPr="00243CD0">
        <w:rPr>
          <w:rFonts w:ascii="Arial" w:hAnsi="Arial" w:cs="Arial"/>
          <w:b/>
          <w:u w:val="single"/>
        </w:rPr>
        <w:t>EAST RIDING</w:t>
      </w:r>
      <w:r w:rsidR="00B36999" w:rsidRPr="00243CD0">
        <w:rPr>
          <w:rFonts w:ascii="Arial" w:hAnsi="Arial" w:cs="Arial"/>
          <w:b/>
          <w:u w:val="single"/>
        </w:rPr>
        <w:t xml:space="preserve"> FRACTURE LIAISON SERVICE</w:t>
      </w:r>
      <w:r w:rsidR="00AA2695" w:rsidRPr="00243CD0">
        <w:rPr>
          <w:rFonts w:ascii="Arial" w:hAnsi="Arial" w:cs="Arial"/>
          <w:b/>
          <w:u w:val="single"/>
        </w:rPr>
        <w:t xml:space="preserve"> – GUIDANCE FOR REFERRERS</w:t>
      </w:r>
    </w:p>
    <w:p w14:paraId="49AC2066" w14:textId="77777777" w:rsidR="00657371" w:rsidRPr="00243CD0" w:rsidRDefault="00657371" w:rsidP="00E134B4">
      <w:pPr>
        <w:rPr>
          <w:rFonts w:ascii="Arial" w:hAnsi="Arial" w:cs="Arial"/>
          <w:b/>
          <w:u w:val="single"/>
        </w:rPr>
      </w:pPr>
    </w:p>
    <w:p w14:paraId="0A464393" w14:textId="2C97BB7D" w:rsidR="00965B64" w:rsidRPr="00243CD0" w:rsidRDefault="00AA2695" w:rsidP="00E134B4">
      <w:pPr>
        <w:rPr>
          <w:rFonts w:ascii="Arial" w:hAnsi="Arial" w:cs="Arial"/>
          <w:b/>
          <w:bCs/>
        </w:rPr>
      </w:pPr>
      <w:r w:rsidRPr="00243CD0">
        <w:rPr>
          <w:rFonts w:ascii="Arial" w:hAnsi="Arial" w:cs="Arial"/>
          <w:b/>
          <w:bCs/>
        </w:rPr>
        <w:t xml:space="preserve">This guidance is intended for clinicians referring into the </w:t>
      </w:r>
      <w:r w:rsidR="007857F5" w:rsidRPr="00243CD0">
        <w:rPr>
          <w:rFonts w:ascii="Arial" w:hAnsi="Arial" w:cs="Arial"/>
          <w:b/>
          <w:bCs/>
        </w:rPr>
        <w:t xml:space="preserve">Hull &amp; </w:t>
      </w:r>
      <w:r w:rsidR="00965B64" w:rsidRPr="00243CD0">
        <w:rPr>
          <w:rFonts w:ascii="Arial" w:hAnsi="Arial" w:cs="Arial"/>
          <w:b/>
          <w:bCs/>
        </w:rPr>
        <w:t xml:space="preserve">East Riding </w:t>
      </w:r>
      <w:r w:rsidR="00B36999" w:rsidRPr="00243CD0">
        <w:rPr>
          <w:rFonts w:ascii="Arial" w:hAnsi="Arial" w:cs="Arial"/>
          <w:b/>
          <w:bCs/>
        </w:rPr>
        <w:t>Fracture Liaison Service</w:t>
      </w:r>
      <w:r w:rsidR="00965B64" w:rsidRPr="00243CD0">
        <w:rPr>
          <w:rFonts w:ascii="Arial" w:hAnsi="Arial" w:cs="Arial"/>
          <w:b/>
          <w:bCs/>
        </w:rPr>
        <w:t xml:space="preserve"> for patients:</w:t>
      </w:r>
    </w:p>
    <w:p w14:paraId="0CA6571C" w14:textId="77777777" w:rsidR="00AD29FC" w:rsidRPr="00243CD0" w:rsidRDefault="00AD29FC" w:rsidP="00E134B4">
      <w:pPr>
        <w:rPr>
          <w:rFonts w:ascii="Arial" w:hAnsi="Arial" w:cs="Arial"/>
        </w:rPr>
      </w:pPr>
    </w:p>
    <w:p w14:paraId="721115AE" w14:textId="566657D4" w:rsidR="00AA2695" w:rsidRPr="00243CD0" w:rsidRDefault="00965B64" w:rsidP="00E134B4">
      <w:pPr>
        <w:pStyle w:val="ListParagraph"/>
        <w:numPr>
          <w:ilvl w:val="0"/>
          <w:numId w:val="5"/>
        </w:numPr>
        <w:rPr>
          <w:rFonts w:ascii="Arial" w:hAnsi="Arial" w:cs="Arial"/>
          <w:sz w:val="24"/>
          <w:szCs w:val="24"/>
        </w:rPr>
      </w:pPr>
      <w:bookmarkStart w:id="0" w:name="_Hlk182998503"/>
      <w:r w:rsidRPr="00243CD0">
        <w:rPr>
          <w:rFonts w:ascii="Arial" w:hAnsi="Arial" w:cs="Arial"/>
          <w:sz w:val="24"/>
          <w:szCs w:val="24"/>
        </w:rPr>
        <w:t xml:space="preserve">With </w:t>
      </w:r>
      <w:r w:rsidR="00B36999" w:rsidRPr="00243CD0">
        <w:rPr>
          <w:rFonts w:ascii="Arial" w:hAnsi="Arial" w:cs="Arial"/>
          <w:sz w:val="24"/>
          <w:szCs w:val="24"/>
        </w:rPr>
        <w:t>a new</w:t>
      </w:r>
      <w:r w:rsidR="00C87FBB" w:rsidRPr="00243CD0">
        <w:rPr>
          <w:rFonts w:ascii="Arial" w:hAnsi="Arial" w:cs="Arial"/>
          <w:sz w:val="24"/>
          <w:szCs w:val="24"/>
        </w:rPr>
        <w:t xml:space="preserve"> fragility</w:t>
      </w:r>
      <w:r w:rsidR="00B36999" w:rsidRPr="00243CD0">
        <w:rPr>
          <w:rFonts w:ascii="Arial" w:hAnsi="Arial" w:cs="Arial"/>
          <w:sz w:val="24"/>
          <w:szCs w:val="24"/>
        </w:rPr>
        <w:t xml:space="preserve"> fracture</w:t>
      </w:r>
      <w:r w:rsidR="007857F5" w:rsidRPr="00243CD0">
        <w:rPr>
          <w:rFonts w:ascii="Arial" w:hAnsi="Arial" w:cs="Arial"/>
          <w:sz w:val="24"/>
          <w:szCs w:val="24"/>
        </w:rPr>
        <w:t xml:space="preserve"> </w:t>
      </w:r>
    </w:p>
    <w:bookmarkEnd w:id="0"/>
    <w:p w14:paraId="519F5776" w14:textId="0119A816" w:rsidR="00965B64" w:rsidRPr="00243CD0" w:rsidRDefault="00965B64" w:rsidP="00E134B4">
      <w:pPr>
        <w:pStyle w:val="ListParagraph"/>
        <w:numPr>
          <w:ilvl w:val="0"/>
          <w:numId w:val="5"/>
        </w:numPr>
        <w:rPr>
          <w:rFonts w:ascii="Arial" w:hAnsi="Arial" w:cs="Arial"/>
          <w:sz w:val="24"/>
          <w:szCs w:val="24"/>
        </w:rPr>
      </w:pPr>
      <w:r w:rsidRPr="00243CD0">
        <w:rPr>
          <w:rFonts w:ascii="Arial" w:hAnsi="Arial" w:cs="Arial"/>
          <w:sz w:val="24"/>
          <w:szCs w:val="24"/>
        </w:rPr>
        <w:t xml:space="preserve">Aged </w:t>
      </w:r>
      <w:r w:rsidR="00B36999" w:rsidRPr="00243CD0">
        <w:rPr>
          <w:rFonts w:ascii="Arial" w:hAnsi="Arial" w:cs="Arial"/>
          <w:sz w:val="24"/>
          <w:szCs w:val="24"/>
        </w:rPr>
        <w:t>50</w:t>
      </w:r>
      <w:r w:rsidRPr="00243CD0">
        <w:rPr>
          <w:rFonts w:ascii="Arial" w:hAnsi="Arial" w:cs="Arial"/>
          <w:sz w:val="24"/>
          <w:szCs w:val="24"/>
        </w:rPr>
        <w:t xml:space="preserve"> years and </w:t>
      </w:r>
      <w:r w:rsidR="001E1099" w:rsidRPr="00243CD0">
        <w:rPr>
          <w:rFonts w:ascii="Arial" w:hAnsi="Arial" w:cs="Arial"/>
          <w:sz w:val="24"/>
          <w:szCs w:val="24"/>
        </w:rPr>
        <w:t>over</w:t>
      </w:r>
    </w:p>
    <w:p w14:paraId="1479A535" w14:textId="1A896D95" w:rsidR="00AA2695" w:rsidRPr="00243CD0" w:rsidRDefault="00965B64" w:rsidP="00E134B4">
      <w:pPr>
        <w:pStyle w:val="ListParagraph"/>
        <w:numPr>
          <w:ilvl w:val="0"/>
          <w:numId w:val="5"/>
        </w:numPr>
        <w:rPr>
          <w:rFonts w:ascii="Arial" w:hAnsi="Arial" w:cs="Arial"/>
          <w:sz w:val="24"/>
          <w:szCs w:val="24"/>
        </w:rPr>
      </w:pPr>
      <w:r w:rsidRPr="00243CD0">
        <w:rPr>
          <w:rFonts w:ascii="Arial" w:hAnsi="Arial" w:cs="Arial"/>
          <w:sz w:val="24"/>
          <w:szCs w:val="24"/>
        </w:rPr>
        <w:t xml:space="preserve">Registered with a </w:t>
      </w:r>
      <w:r w:rsidR="007857F5" w:rsidRPr="00243CD0">
        <w:rPr>
          <w:rFonts w:ascii="Arial" w:hAnsi="Arial" w:cs="Arial"/>
          <w:sz w:val="24"/>
          <w:szCs w:val="24"/>
        </w:rPr>
        <w:t xml:space="preserve">Hull or </w:t>
      </w:r>
      <w:r w:rsidRPr="00243CD0">
        <w:rPr>
          <w:rFonts w:ascii="Arial" w:hAnsi="Arial" w:cs="Arial"/>
          <w:sz w:val="24"/>
          <w:szCs w:val="24"/>
        </w:rPr>
        <w:t>East Riding GP</w:t>
      </w:r>
    </w:p>
    <w:p w14:paraId="370C4478" w14:textId="00F46B90" w:rsidR="00432C1B" w:rsidRPr="00243CD0" w:rsidRDefault="00432C1B" w:rsidP="00432C1B">
      <w:pPr>
        <w:rPr>
          <w:rFonts w:ascii="Arial" w:hAnsi="Arial" w:cs="Arial"/>
          <w:b/>
          <w:bCs/>
        </w:rPr>
      </w:pPr>
      <w:r w:rsidRPr="00243CD0">
        <w:rPr>
          <w:rFonts w:ascii="Arial" w:hAnsi="Arial" w:cs="Arial"/>
          <w:b/>
          <w:bCs/>
        </w:rPr>
        <w:t xml:space="preserve">Please note, referrals that </w:t>
      </w:r>
      <w:r w:rsidR="007857F5" w:rsidRPr="00243CD0">
        <w:rPr>
          <w:rFonts w:ascii="Arial" w:hAnsi="Arial" w:cs="Arial"/>
          <w:b/>
          <w:bCs/>
        </w:rPr>
        <w:t>do not meet referral criteria or do not describe the</w:t>
      </w:r>
      <w:r w:rsidR="00657371" w:rsidRPr="00243CD0">
        <w:rPr>
          <w:rFonts w:ascii="Arial" w:hAnsi="Arial" w:cs="Arial"/>
          <w:b/>
          <w:bCs/>
        </w:rPr>
        <w:t xml:space="preserve"> reason for referral</w:t>
      </w:r>
      <w:r w:rsidR="007857F5" w:rsidRPr="00243CD0">
        <w:rPr>
          <w:rFonts w:ascii="Arial" w:hAnsi="Arial" w:cs="Arial"/>
          <w:b/>
          <w:bCs/>
        </w:rPr>
        <w:t xml:space="preserve"> </w:t>
      </w:r>
      <w:r w:rsidRPr="00243CD0">
        <w:rPr>
          <w:rFonts w:ascii="Arial" w:hAnsi="Arial" w:cs="Arial"/>
          <w:b/>
          <w:bCs/>
        </w:rPr>
        <w:t>will be rejected.</w:t>
      </w:r>
    </w:p>
    <w:p w14:paraId="2DE6325A" w14:textId="4A5ECFE2" w:rsidR="00584EEC" w:rsidRPr="00243CD0" w:rsidRDefault="007857F5" w:rsidP="00432C1B">
      <w:pPr>
        <w:rPr>
          <w:rFonts w:ascii="Arial" w:hAnsi="Arial" w:cs="Arial"/>
          <w:b/>
          <w:bCs/>
        </w:rPr>
      </w:pPr>
      <w:r w:rsidRPr="00243CD0">
        <w:rPr>
          <w:rFonts w:ascii="Arial" w:hAnsi="Arial" w:cs="Arial"/>
          <w:b/>
          <w:bCs/>
        </w:rPr>
        <w:t xml:space="preserve">Inclusion and </w:t>
      </w:r>
      <w:r w:rsidR="00584EEC" w:rsidRPr="00243CD0">
        <w:rPr>
          <w:rFonts w:ascii="Arial" w:hAnsi="Arial" w:cs="Arial"/>
          <w:b/>
          <w:bCs/>
        </w:rPr>
        <w:t xml:space="preserve">Exclusion criteria are listed within this document. </w:t>
      </w:r>
    </w:p>
    <w:p w14:paraId="09882792" w14:textId="77777777" w:rsidR="00657371" w:rsidRPr="00243CD0" w:rsidRDefault="00657371" w:rsidP="00432C1B">
      <w:pPr>
        <w:rPr>
          <w:rFonts w:ascii="Arial" w:hAnsi="Arial" w:cs="Arial"/>
          <w:b/>
          <w:bCs/>
        </w:rPr>
      </w:pPr>
    </w:p>
    <w:p w14:paraId="0555FD6D" w14:textId="3CFC1E9A" w:rsidR="00DB662F" w:rsidRPr="00243CD0" w:rsidRDefault="00AA2695" w:rsidP="00657371">
      <w:pPr>
        <w:pStyle w:val="ListParagraph"/>
        <w:numPr>
          <w:ilvl w:val="0"/>
          <w:numId w:val="23"/>
        </w:numPr>
        <w:rPr>
          <w:rFonts w:ascii="Arial" w:hAnsi="Arial" w:cs="Arial"/>
          <w:b/>
          <w:bCs/>
          <w:sz w:val="24"/>
          <w:szCs w:val="24"/>
          <w:u w:val="single"/>
        </w:rPr>
      </w:pPr>
      <w:r w:rsidRPr="00243CD0">
        <w:rPr>
          <w:rFonts w:ascii="Arial" w:hAnsi="Arial" w:cs="Arial"/>
          <w:b/>
          <w:bCs/>
          <w:sz w:val="24"/>
          <w:szCs w:val="24"/>
          <w:u w:val="single"/>
        </w:rPr>
        <w:t>Introduction</w:t>
      </w:r>
    </w:p>
    <w:p w14:paraId="17268D01" w14:textId="281C4AA6" w:rsidR="00657371" w:rsidRPr="00243CD0" w:rsidRDefault="00657371" w:rsidP="00657371">
      <w:pPr>
        <w:rPr>
          <w:rFonts w:ascii="Arial" w:hAnsi="Arial" w:cs="Arial"/>
          <w:b/>
          <w:bCs/>
        </w:rPr>
      </w:pPr>
      <w:r w:rsidRPr="00243CD0">
        <w:rPr>
          <w:rFonts w:ascii="Arial" w:hAnsi="Arial" w:cs="Arial"/>
          <w:b/>
          <w:bCs/>
        </w:rPr>
        <w:t xml:space="preserve">The Hull and East Riding Fracture Liaison Service is a bone health assessment service that aims to: </w:t>
      </w:r>
    </w:p>
    <w:p w14:paraId="32862AD7" w14:textId="77777777" w:rsidR="00AD29FC" w:rsidRPr="00243CD0" w:rsidRDefault="00AD29FC" w:rsidP="00E134B4">
      <w:pPr>
        <w:rPr>
          <w:rFonts w:ascii="Arial" w:hAnsi="Arial" w:cs="Arial"/>
        </w:rPr>
      </w:pPr>
    </w:p>
    <w:p w14:paraId="4190CE31" w14:textId="77777777" w:rsidR="00C87FBB" w:rsidRPr="00243CD0" w:rsidRDefault="00C87FBB" w:rsidP="00243CD0">
      <w:pPr>
        <w:pStyle w:val="ListParagraph"/>
        <w:numPr>
          <w:ilvl w:val="0"/>
          <w:numId w:val="24"/>
        </w:numPr>
        <w:spacing w:after="160" w:line="259" w:lineRule="auto"/>
        <w:rPr>
          <w:rFonts w:ascii="Arial" w:hAnsi="Arial" w:cs="Arial"/>
          <w:bCs/>
          <w:iCs/>
          <w:sz w:val="24"/>
          <w:szCs w:val="24"/>
        </w:rPr>
      </w:pPr>
      <w:r w:rsidRPr="00243CD0">
        <w:rPr>
          <w:rFonts w:ascii="Arial" w:hAnsi="Arial" w:cs="Arial"/>
          <w:bCs/>
          <w:iCs/>
          <w:sz w:val="24"/>
          <w:szCs w:val="24"/>
        </w:rPr>
        <w:t xml:space="preserve">Identification and diagnose of Osteoporosis </w:t>
      </w:r>
    </w:p>
    <w:p w14:paraId="6B42F521" w14:textId="5AB04DAB" w:rsidR="00C87FBB" w:rsidRPr="00243CD0" w:rsidRDefault="00C87FBB" w:rsidP="00243CD0">
      <w:pPr>
        <w:pStyle w:val="ListParagraph"/>
        <w:numPr>
          <w:ilvl w:val="0"/>
          <w:numId w:val="24"/>
        </w:numPr>
        <w:spacing w:after="160" w:line="259" w:lineRule="auto"/>
        <w:rPr>
          <w:rFonts w:ascii="Arial" w:hAnsi="Arial" w:cs="Arial"/>
          <w:bCs/>
          <w:iCs/>
          <w:sz w:val="24"/>
          <w:szCs w:val="24"/>
        </w:rPr>
      </w:pPr>
      <w:r w:rsidRPr="00243CD0">
        <w:rPr>
          <w:rFonts w:ascii="Arial" w:hAnsi="Arial" w:cs="Arial"/>
          <w:bCs/>
          <w:iCs/>
          <w:sz w:val="24"/>
          <w:szCs w:val="24"/>
        </w:rPr>
        <w:t>Links with other healthcare professionals and</w:t>
      </w:r>
      <w:r w:rsidR="00657371" w:rsidRPr="00243CD0">
        <w:rPr>
          <w:rFonts w:ascii="Arial" w:hAnsi="Arial" w:cs="Arial"/>
          <w:bCs/>
          <w:iCs/>
          <w:sz w:val="24"/>
          <w:szCs w:val="24"/>
        </w:rPr>
        <w:t xml:space="preserve"> makes onward referrals</w:t>
      </w:r>
      <w:r w:rsidRPr="00243CD0">
        <w:rPr>
          <w:rFonts w:ascii="Arial" w:hAnsi="Arial" w:cs="Arial"/>
          <w:bCs/>
          <w:iCs/>
          <w:sz w:val="24"/>
          <w:szCs w:val="24"/>
        </w:rPr>
        <w:t xml:space="preserve"> </w:t>
      </w:r>
      <w:r w:rsidR="00657371" w:rsidRPr="00243CD0">
        <w:rPr>
          <w:rFonts w:ascii="Arial" w:hAnsi="Arial" w:cs="Arial"/>
          <w:bCs/>
          <w:iCs/>
          <w:sz w:val="24"/>
          <w:szCs w:val="24"/>
        </w:rPr>
        <w:t>to</w:t>
      </w:r>
      <w:r w:rsidRPr="00243CD0">
        <w:rPr>
          <w:rFonts w:ascii="Arial" w:hAnsi="Arial" w:cs="Arial"/>
          <w:bCs/>
          <w:iCs/>
          <w:sz w:val="24"/>
          <w:szCs w:val="24"/>
        </w:rPr>
        <w:t xml:space="preserve"> – Metabolic bone, GP’s, Hip fracture nurse, Royal Osteoporosis Society</w:t>
      </w:r>
    </w:p>
    <w:p w14:paraId="02C2F033" w14:textId="77777777" w:rsidR="00C87FBB" w:rsidRPr="00243CD0" w:rsidRDefault="00C87FBB" w:rsidP="00243CD0">
      <w:pPr>
        <w:pStyle w:val="ListParagraph"/>
        <w:numPr>
          <w:ilvl w:val="0"/>
          <w:numId w:val="24"/>
        </w:numPr>
        <w:spacing w:after="160" w:line="259" w:lineRule="auto"/>
        <w:rPr>
          <w:rFonts w:ascii="Arial" w:hAnsi="Arial" w:cs="Arial"/>
          <w:bCs/>
          <w:iCs/>
          <w:sz w:val="24"/>
          <w:szCs w:val="24"/>
        </w:rPr>
      </w:pPr>
      <w:r w:rsidRPr="00243CD0">
        <w:rPr>
          <w:rFonts w:ascii="Arial" w:hAnsi="Arial" w:cs="Arial"/>
          <w:bCs/>
          <w:iCs/>
          <w:sz w:val="24"/>
          <w:szCs w:val="24"/>
        </w:rPr>
        <w:t xml:space="preserve">Initiation on bone protection therapy </w:t>
      </w:r>
    </w:p>
    <w:p w14:paraId="0B8575B9" w14:textId="0D618C88" w:rsidR="00C87FBB" w:rsidRPr="00243CD0" w:rsidRDefault="00243CD0" w:rsidP="00243CD0">
      <w:pPr>
        <w:pStyle w:val="ListParagraph"/>
        <w:numPr>
          <w:ilvl w:val="0"/>
          <w:numId w:val="24"/>
        </w:numPr>
        <w:spacing w:after="160" w:line="259" w:lineRule="auto"/>
        <w:rPr>
          <w:rFonts w:ascii="Arial" w:hAnsi="Arial" w:cs="Arial"/>
          <w:bCs/>
          <w:iCs/>
          <w:sz w:val="24"/>
          <w:szCs w:val="24"/>
        </w:rPr>
      </w:pPr>
      <w:r w:rsidRPr="00243CD0">
        <w:rPr>
          <w:rFonts w:ascii="Arial" w:hAnsi="Arial" w:cs="Arial"/>
          <w:bCs/>
          <w:iCs/>
          <w:sz w:val="24"/>
          <w:szCs w:val="24"/>
        </w:rPr>
        <w:t>4- and 12-month</w:t>
      </w:r>
      <w:r w:rsidR="00C87FBB" w:rsidRPr="00243CD0">
        <w:rPr>
          <w:rFonts w:ascii="Arial" w:hAnsi="Arial" w:cs="Arial"/>
          <w:bCs/>
          <w:iCs/>
          <w:sz w:val="24"/>
          <w:szCs w:val="24"/>
        </w:rPr>
        <w:t xml:space="preserve"> reviews</w:t>
      </w:r>
    </w:p>
    <w:p w14:paraId="2456F859" w14:textId="38A0712A" w:rsidR="00657371" w:rsidRPr="00243CD0" w:rsidRDefault="00657371" w:rsidP="00243CD0">
      <w:pPr>
        <w:pStyle w:val="ListParagraph"/>
        <w:numPr>
          <w:ilvl w:val="0"/>
          <w:numId w:val="24"/>
        </w:numPr>
        <w:spacing w:after="160" w:line="259" w:lineRule="auto"/>
        <w:rPr>
          <w:rFonts w:ascii="Arial" w:hAnsi="Arial" w:cs="Arial"/>
          <w:bCs/>
          <w:iCs/>
          <w:sz w:val="24"/>
          <w:szCs w:val="24"/>
        </w:rPr>
      </w:pPr>
      <w:r w:rsidRPr="00243CD0">
        <w:rPr>
          <w:rFonts w:ascii="Arial" w:hAnsi="Arial" w:cs="Arial"/>
          <w:bCs/>
          <w:iCs/>
          <w:sz w:val="24"/>
          <w:szCs w:val="24"/>
        </w:rPr>
        <w:t xml:space="preserve">The Hull and East Riding Fracture Liaison service operates Monday- Friday 08:00 – 16:30  </w:t>
      </w:r>
    </w:p>
    <w:p w14:paraId="0F039DC6" w14:textId="77777777" w:rsidR="00AD29FC" w:rsidRPr="00243CD0" w:rsidRDefault="00AD29FC" w:rsidP="00243CD0">
      <w:pPr>
        <w:rPr>
          <w:rFonts w:ascii="Arial" w:hAnsi="Arial" w:cs="Arial"/>
        </w:rPr>
      </w:pPr>
    </w:p>
    <w:p w14:paraId="11B811C5" w14:textId="04B24E6E" w:rsidR="00965B64" w:rsidRPr="00243CD0" w:rsidRDefault="00AA2695" w:rsidP="00E134B4">
      <w:pPr>
        <w:rPr>
          <w:rFonts w:ascii="Arial" w:hAnsi="Arial" w:cs="Arial"/>
          <w:b/>
          <w:bCs/>
          <w:u w:val="single"/>
        </w:rPr>
      </w:pPr>
      <w:r w:rsidRPr="00243CD0">
        <w:rPr>
          <w:rFonts w:ascii="Arial" w:hAnsi="Arial" w:cs="Arial"/>
          <w:b/>
          <w:bCs/>
          <w:u w:val="single"/>
        </w:rPr>
        <w:t>2) Referral Process</w:t>
      </w:r>
      <w:r w:rsidR="00432C1B" w:rsidRPr="00243CD0">
        <w:rPr>
          <w:rFonts w:ascii="Arial" w:hAnsi="Arial" w:cs="Arial"/>
          <w:b/>
          <w:bCs/>
          <w:u w:val="single"/>
        </w:rPr>
        <w:t xml:space="preserve"> and Criteria </w:t>
      </w:r>
    </w:p>
    <w:p w14:paraId="5E84CAFB" w14:textId="276BF3B3" w:rsidR="00AD29FC" w:rsidRPr="00243CD0" w:rsidRDefault="00AD29FC" w:rsidP="00E134B4">
      <w:pPr>
        <w:rPr>
          <w:rFonts w:ascii="Arial" w:hAnsi="Arial" w:cs="Arial"/>
        </w:rPr>
      </w:pPr>
    </w:p>
    <w:p w14:paraId="052BE61B" w14:textId="3B50FE65" w:rsidR="00932DED" w:rsidRPr="00A313E7" w:rsidRDefault="007F1415" w:rsidP="007F1415">
      <w:pPr>
        <w:rPr>
          <w:rFonts w:ascii="Arial" w:hAnsi="Arial" w:cs="Arial"/>
        </w:rPr>
      </w:pPr>
      <w:r w:rsidRPr="00A313E7">
        <w:rPr>
          <w:rFonts w:ascii="Arial" w:hAnsi="Arial" w:cs="Arial"/>
        </w:rPr>
        <w:t>R</w:t>
      </w:r>
      <w:r w:rsidR="00051257" w:rsidRPr="00A313E7">
        <w:rPr>
          <w:rFonts w:ascii="Arial" w:hAnsi="Arial" w:cs="Arial"/>
        </w:rPr>
        <w:t>eferral</w:t>
      </w:r>
      <w:r w:rsidR="00932DED" w:rsidRPr="00A313E7">
        <w:rPr>
          <w:rFonts w:ascii="Arial" w:hAnsi="Arial" w:cs="Arial"/>
        </w:rPr>
        <w:t xml:space="preserve"> is only available for patients aged </w:t>
      </w:r>
      <w:r w:rsidR="00C87FBB" w:rsidRPr="00A313E7">
        <w:rPr>
          <w:rFonts w:ascii="Arial" w:hAnsi="Arial" w:cs="Arial"/>
        </w:rPr>
        <w:t>50 years and</w:t>
      </w:r>
      <w:r w:rsidR="00932DED" w:rsidRPr="00A313E7">
        <w:rPr>
          <w:rFonts w:ascii="Arial" w:hAnsi="Arial" w:cs="Arial"/>
        </w:rPr>
        <w:t xml:space="preserve"> over </w:t>
      </w:r>
      <w:r w:rsidR="00083F3A" w:rsidRPr="00A313E7">
        <w:rPr>
          <w:rFonts w:ascii="Arial" w:hAnsi="Arial" w:cs="Arial"/>
        </w:rPr>
        <w:t>with a Hull or ER GP</w:t>
      </w:r>
      <w:r w:rsidR="00A313E7">
        <w:rPr>
          <w:rFonts w:ascii="Arial" w:hAnsi="Arial" w:cs="Arial"/>
        </w:rPr>
        <w:t>.</w:t>
      </w:r>
    </w:p>
    <w:p w14:paraId="6D363F23" w14:textId="77777777" w:rsidR="00083F3A" w:rsidRPr="00243CD0" w:rsidRDefault="00083F3A" w:rsidP="007F1415">
      <w:pPr>
        <w:rPr>
          <w:rFonts w:ascii="Arial" w:hAnsi="Arial" w:cs="Arial"/>
        </w:rPr>
      </w:pPr>
    </w:p>
    <w:p w14:paraId="6F3992EB" w14:textId="3CC343B3" w:rsidR="00083F3A" w:rsidRPr="00243CD0" w:rsidRDefault="00083F3A" w:rsidP="007F1415">
      <w:pPr>
        <w:rPr>
          <w:rFonts w:ascii="Arial" w:hAnsi="Arial" w:cs="Arial"/>
          <w:b/>
          <w:bCs/>
          <w:u w:val="single"/>
        </w:rPr>
      </w:pPr>
      <w:r w:rsidRPr="00243CD0">
        <w:rPr>
          <w:rFonts w:ascii="Arial" w:hAnsi="Arial" w:cs="Arial"/>
          <w:b/>
          <w:bCs/>
          <w:u w:val="single"/>
        </w:rPr>
        <w:t xml:space="preserve">Criteria </w:t>
      </w:r>
    </w:p>
    <w:p w14:paraId="22F58825" w14:textId="77777777" w:rsidR="00657371" w:rsidRPr="00243CD0" w:rsidRDefault="00657371" w:rsidP="007F1415">
      <w:pPr>
        <w:rPr>
          <w:rFonts w:ascii="Arial" w:hAnsi="Arial" w:cs="Arial"/>
          <w:b/>
          <w:bCs/>
          <w:u w:val="single"/>
        </w:rPr>
      </w:pPr>
    </w:p>
    <w:p w14:paraId="360C7A51" w14:textId="77777777" w:rsidR="00356730" w:rsidRPr="00243CD0" w:rsidRDefault="00356730" w:rsidP="00356730">
      <w:pPr>
        <w:pStyle w:val="ListParagraph"/>
        <w:numPr>
          <w:ilvl w:val="0"/>
          <w:numId w:val="5"/>
        </w:numPr>
        <w:rPr>
          <w:rFonts w:ascii="Arial" w:hAnsi="Arial" w:cs="Arial"/>
          <w:sz w:val="24"/>
          <w:szCs w:val="24"/>
        </w:rPr>
      </w:pPr>
      <w:r w:rsidRPr="00243CD0">
        <w:rPr>
          <w:rFonts w:ascii="Arial" w:hAnsi="Arial" w:cs="Arial"/>
          <w:sz w:val="24"/>
          <w:szCs w:val="24"/>
        </w:rPr>
        <w:t xml:space="preserve">With a new fragility fracture </w:t>
      </w:r>
    </w:p>
    <w:p w14:paraId="17BD38F0" w14:textId="18F608AB" w:rsidR="00356730" w:rsidRPr="00243CD0" w:rsidRDefault="00356730" w:rsidP="00356730">
      <w:pPr>
        <w:pStyle w:val="ListParagraph"/>
        <w:numPr>
          <w:ilvl w:val="0"/>
          <w:numId w:val="5"/>
        </w:numPr>
        <w:rPr>
          <w:rFonts w:ascii="Arial" w:hAnsi="Arial" w:cs="Arial"/>
          <w:sz w:val="24"/>
          <w:szCs w:val="24"/>
        </w:rPr>
      </w:pPr>
      <w:r w:rsidRPr="00243CD0">
        <w:rPr>
          <w:rFonts w:ascii="Arial" w:hAnsi="Arial" w:cs="Arial"/>
          <w:sz w:val="24"/>
          <w:szCs w:val="24"/>
        </w:rPr>
        <w:t>Aged 50 years and over</w:t>
      </w:r>
    </w:p>
    <w:p w14:paraId="513E1BEA" w14:textId="77777777" w:rsidR="00356730" w:rsidRPr="00243CD0" w:rsidRDefault="00356730" w:rsidP="00356730">
      <w:pPr>
        <w:pStyle w:val="ListParagraph"/>
        <w:numPr>
          <w:ilvl w:val="0"/>
          <w:numId w:val="5"/>
        </w:numPr>
        <w:rPr>
          <w:rFonts w:ascii="Arial" w:hAnsi="Arial" w:cs="Arial"/>
          <w:sz w:val="24"/>
          <w:szCs w:val="24"/>
        </w:rPr>
      </w:pPr>
      <w:r w:rsidRPr="00243CD0">
        <w:rPr>
          <w:rFonts w:ascii="Arial" w:hAnsi="Arial" w:cs="Arial"/>
          <w:sz w:val="24"/>
          <w:szCs w:val="24"/>
        </w:rPr>
        <w:lastRenderedPageBreak/>
        <w:t>Registered with a Hull or East Riding GP</w:t>
      </w:r>
    </w:p>
    <w:p w14:paraId="65253FA1" w14:textId="59C2B875" w:rsidR="00432C1B" w:rsidRPr="00243CD0" w:rsidRDefault="00432C1B" w:rsidP="00E134B4">
      <w:pPr>
        <w:rPr>
          <w:rFonts w:ascii="Arial" w:hAnsi="Arial" w:cs="Arial"/>
          <w:b/>
          <w:bCs/>
          <w:u w:val="single"/>
        </w:rPr>
      </w:pPr>
      <w:r w:rsidRPr="00243CD0">
        <w:rPr>
          <w:rFonts w:ascii="Arial" w:hAnsi="Arial" w:cs="Arial"/>
          <w:b/>
          <w:bCs/>
          <w:u w:val="single"/>
        </w:rPr>
        <w:t xml:space="preserve">Consideration of Red Flags </w:t>
      </w:r>
    </w:p>
    <w:p w14:paraId="3B4E6306" w14:textId="77777777" w:rsidR="00432C1B" w:rsidRPr="00243CD0" w:rsidRDefault="00432C1B" w:rsidP="00E134B4">
      <w:pPr>
        <w:rPr>
          <w:rFonts w:ascii="Arial" w:hAnsi="Arial" w:cs="Arial"/>
        </w:rPr>
      </w:pPr>
    </w:p>
    <w:p w14:paraId="2E6787A4" w14:textId="685B35B2" w:rsidR="00C87FBB" w:rsidRPr="00243CD0" w:rsidRDefault="00C87FBB" w:rsidP="00657371">
      <w:pPr>
        <w:pStyle w:val="ListParagraph"/>
        <w:numPr>
          <w:ilvl w:val="0"/>
          <w:numId w:val="5"/>
        </w:numPr>
        <w:shd w:val="clear" w:color="auto" w:fill="FEFEFE"/>
        <w:spacing w:after="150"/>
        <w:rPr>
          <w:rFonts w:ascii="Arial" w:eastAsia="Times New Roman" w:hAnsi="Arial" w:cs="Arial"/>
          <w:color w:val="0E0E0E"/>
          <w:sz w:val="24"/>
          <w:szCs w:val="24"/>
          <w:lang w:eastAsia="en-GB"/>
        </w:rPr>
      </w:pPr>
      <w:r w:rsidRPr="00243CD0">
        <w:rPr>
          <w:rFonts w:ascii="Arial" w:eastAsia="Times New Roman" w:hAnsi="Arial" w:cs="Arial"/>
          <w:color w:val="0E0E0E"/>
          <w:sz w:val="24"/>
          <w:szCs w:val="24"/>
          <w:lang w:eastAsia="en-GB"/>
        </w:rPr>
        <w:t>The FLS is not a primary prevention service and can only see people that have fractured</w:t>
      </w:r>
    </w:p>
    <w:p w14:paraId="54CB6A68" w14:textId="18AC39DA" w:rsidR="00C87FBB" w:rsidRPr="00243CD0" w:rsidRDefault="00C87FBB" w:rsidP="00657371">
      <w:pPr>
        <w:pStyle w:val="ListParagraph"/>
        <w:numPr>
          <w:ilvl w:val="0"/>
          <w:numId w:val="5"/>
        </w:numPr>
        <w:shd w:val="clear" w:color="auto" w:fill="FEFEFE"/>
        <w:spacing w:after="150"/>
        <w:rPr>
          <w:rFonts w:ascii="Arial" w:eastAsia="Times New Roman" w:hAnsi="Arial" w:cs="Arial"/>
          <w:color w:val="0E0E0E"/>
          <w:sz w:val="24"/>
          <w:szCs w:val="24"/>
          <w:lang w:eastAsia="en-GB"/>
        </w:rPr>
      </w:pPr>
      <w:r w:rsidRPr="00243CD0">
        <w:rPr>
          <w:rFonts w:ascii="Arial" w:eastAsia="Times New Roman" w:hAnsi="Arial" w:cs="Arial"/>
          <w:color w:val="0E0E0E"/>
          <w:sz w:val="24"/>
          <w:szCs w:val="24"/>
          <w:lang w:eastAsia="en-GB"/>
        </w:rPr>
        <w:t xml:space="preserve">Any immediate medical support for new </w:t>
      </w:r>
      <w:r w:rsidR="00657371" w:rsidRPr="00243CD0">
        <w:rPr>
          <w:rFonts w:ascii="Arial" w:eastAsia="Times New Roman" w:hAnsi="Arial" w:cs="Arial"/>
          <w:color w:val="0E0E0E"/>
          <w:sz w:val="24"/>
          <w:szCs w:val="24"/>
          <w:lang w:eastAsia="en-GB"/>
        </w:rPr>
        <w:t>fractures, refer</w:t>
      </w:r>
      <w:r w:rsidRPr="00243CD0">
        <w:rPr>
          <w:rFonts w:ascii="Arial" w:eastAsia="Times New Roman" w:hAnsi="Arial" w:cs="Arial"/>
          <w:color w:val="0E0E0E"/>
          <w:sz w:val="24"/>
          <w:szCs w:val="24"/>
          <w:lang w:eastAsia="en-GB"/>
        </w:rPr>
        <w:t xml:space="preserve"> to UTC/Fracture clinic</w:t>
      </w:r>
      <w:r w:rsidR="00657371" w:rsidRPr="00243CD0">
        <w:rPr>
          <w:rFonts w:ascii="Arial" w:eastAsia="Times New Roman" w:hAnsi="Arial" w:cs="Arial"/>
          <w:color w:val="0E0E0E"/>
          <w:sz w:val="24"/>
          <w:szCs w:val="24"/>
          <w:lang w:eastAsia="en-GB"/>
        </w:rPr>
        <w:t>/ED</w:t>
      </w:r>
    </w:p>
    <w:p w14:paraId="09F7F8D5" w14:textId="77FCC339" w:rsidR="00432C1B" w:rsidRPr="00243CD0" w:rsidRDefault="00C87FBB" w:rsidP="00657371">
      <w:pPr>
        <w:pStyle w:val="ListParagraph"/>
        <w:numPr>
          <w:ilvl w:val="0"/>
          <w:numId w:val="5"/>
        </w:numPr>
        <w:rPr>
          <w:rFonts w:ascii="Arial" w:eastAsia="Times New Roman" w:hAnsi="Arial" w:cs="Arial"/>
          <w:color w:val="0E0E0E"/>
          <w:sz w:val="24"/>
          <w:szCs w:val="24"/>
          <w:lang w:eastAsia="en-GB"/>
        </w:rPr>
      </w:pPr>
      <w:r w:rsidRPr="00243CD0">
        <w:rPr>
          <w:rFonts w:ascii="Arial" w:eastAsia="Times New Roman" w:hAnsi="Arial" w:cs="Arial"/>
          <w:color w:val="0E0E0E"/>
          <w:sz w:val="24"/>
          <w:szCs w:val="24"/>
          <w:lang w:eastAsia="en-GB"/>
        </w:rPr>
        <w:t>For parenteral treatment advice and support refer to Metabolic Bone Team</w:t>
      </w:r>
      <w:r w:rsidR="00356730" w:rsidRPr="00243CD0">
        <w:rPr>
          <w:rFonts w:ascii="Arial" w:eastAsia="Times New Roman" w:hAnsi="Arial" w:cs="Arial"/>
          <w:color w:val="0E0E0E"/>
          <w:sz w:val="24"/>
          <w:szCs w:val="24"/>
          <w:lang w:eastAsia="en-GB"/>
        </w:rPr>
        <w:t xml:space="preserve"> at Hull Royal Infirmary</w:t>
      </w:r>
    </w:p>
    <w:p w14:paraId="151F42FF" w14:textId="04A39492" w:rsidR="00432C1B" w:rsidRPr="00243CD0" w:rsidRDefault="00432C1B" w:rsidP="00E134B4">
      <w:pPr>
        <w:rPr>
          <w:rFonts w:ascii="Arial" w:hAnsi="Arial" w:cs="Arial"/>
          <w:b/>
          <w:bCs/>
          <w:u w:val="single"/>
        </w:rPr>
      </w:pPr>
      <w:r w:rsidRPr="00243CD0">
        <w:rPr>
          <w:rFonts w:ascii="Arial" w:hAnsi="Arial" w:cs="Arial"/>
          <w:b/>
          <w:bCs/>
          <w:u w:val="single"/>
        </w:rPr>
        <w:t>Consideration for</w:t>
      </w:r>
      <w:r w:rsidR="007E08EE" w:rsidRPr="00243CD0">
        <w:rPr>
          <w:rFonts w:ascii="Arial" w:hAnsi="Arial" w:cs="Arial"/>
          <w:b/>
          <w:bCs/>
          <w:u w:val="single"/>
        </w:rPr>
        <w:t xml:space="preserve"> Inappropriate Referrals </w:t>
      </w:r>
    </w:p>
    <w:p w14:paraId="704A57A7" w14:textId="77777777" w:rsidR="00356730" w:rsidRPr="00243CD0" w:rsidRDefault="00356730" w:rsidP="00E134B4">
      <w:pPr>
        <w:rPr>
          <w:rFonts w:ascii="Arial" w:hAnsi="Arial" w:cs="Arial"/>
          <w:b/>
          <w:bCs/>
          <w:u w:val="single"/>
        </w:rPr>
      </w:pPr>
    </w:p>
    <w:p w14:paraId="0E7F4799" w14:textId="054842F2" w:rsidR="00356730" w:rsidRPr="00A313E7" w:rsidRDefault="00356730" w:rsidP="00E134B4">
      <w:pPr>
        <w:rPr>
          <w:rFonts w:ascii="Arial" w:hAnsi="Arial" w:cs="Arial"/>
        </w:rPr>
      </w:pPr>
      <w:r w:rsidRPr="00A313E7">
        <w:rPr>
          <w:rFonts w:ascii="Arial" w:hAnsi="Arial" w:cs="Arial"/>
        </w:rPr>
        <w:t xml:space="preserve">If a patient is at high risk of osteoporosis/fracture but has not fractured advice and guidance should be obtained from the metabolic bone team at Hull royal Infirmary. </w:t>
      </w:r>
    </w:p>
    <w:p w14:paraId="62C159EE" w14:textId="77777777" w:rsidR="00356730" w:rsidRPr="00243CD0" w:rsidRDefault="00356730" w:rsidP="00E134B4">
      <w:pPr>
        <w:rPr>
          <w:rFonts w:ascii="Arial" w:hAnsi="Arial" w:cs="Arial"/>
          <w:b/>
          <w:bCs/>
          <w:u w:val="single"/>
        </w:rPr>
      </w:pPr>
    </w:p>
    <w:p w14:paraId="685573A8" w14:textId="69FC3381" w:rsidR="00432C1B" w:rsidRPr="00243CD0" w:rsidRDefault="00432C1B" w:rsidP="00432C1B">
      <w:pPr>
        <w:rPr>
          <w:rFonts w:ascii="Arial" w:hAnsi="Arial" w:cs="Arial"/>
          <w:b/>
          <w:bCs/>
          <w:u w:val="single"/>
        </w:rPr>
      </w:pPr>
      <w:r w:rsidRPr="00243CD0">
        <w:rPr>
          <w:rFonts w:ascii="Arial" w:hAnsi="Arial" w:cs="Arial"/>
          <w:b/>
          <w:bCs/>
          <w:u w:val="single"/>
        </w:rPr>
        <w:t xml:space="preserve">Information to Include </w:t>
      </w:r>
      <w:r w:rsidR="007A4B06" w:rsidRPr="00243CD0">
        <w:rPr>
          <w:rFonts w:ascii="Arial" w:hAnsi="Arial" w:cs="Arial"/>
          <w:b/>
          <w:bCs/>
          <w:u w:val="single"/>
        </w:rPr>
        <w:t xml:space="preserve">in the </w:t>
      </w:r>
      <w:r w:rsidRPr="00243CD0">
        <w:rPr>
          <w:rFonts w:ascii="Arial" w:hAnsi="Arial" w:cs="Arial"/>
          <w:b/>
          <w:bCs/>
          <w:u w:val="single"/>
        </w:rPr>
        <w:t>Referral</w:t>
      </w:r>
    </w:p>
    <w:p w14:paraId="74B14CAA" w14:textId="77777777" w:rsidR="00356730" w:rsidRPr="00243CD0" w:rsidRDefault="00356730" w:rsidP="00432C1B">
      <w:pPr>
        <w:rPr>
          <w:rFonts w:ascii="Arial" w:hAnsi="Arial" w:cs="Arial"/>
          <w:b/>
          <w:bCs/>
          <w:u w:val="single"/>
        </w:rPr>
      </w:pPr>
    </w:p>
    <w:p w14:paraId="6F6A016F" w14:textId="72249F7A" w:rsidR="00432C1B" w:rsidRPr="00A313E7" w:rsidRDefault="00432C1B" w:rsidP="00432C1B">
      <w:pPr>
        <w:rPr>
          <w:rFonts w:ascii="Arial" w:hAnsi="Arial" w:cs="Arial"/>
        </w:rPr>
      </w:pPr>
      <w:r w:rsidRPr="00A313E7">
        <w:rPr>
          <w:rFonts w:ascii="Arial" w:hAnsi="Arial" w:cs="Arial"/>
        </w:rPr>
        <w:t xml:space="preserve">A </w:t>
      </w:r>
      <w:r w:rsidR="00C87FBB" w:rsidRPr="00A313E7">
        <w:rPr>
          <w:rFonts w:ascii="Arial" w:hAnsi="Arial" w:cs="Arial"/>
        </w:rPr>
        <w:t>Fracture Liaison referral</w:t>
      </w:r>
      <w:r w:rsidRPr="00A313E7">
        <w:rPr>
          <w:rFonts w:ascii="Arial" w:hAnsi="Arial" w:cs="Arial"/>
        </w:rPr>
        <w:t xml:space="preserve"> should contain enough relevant information to enable us to make a triage decision as to how the patient is best managed, without us needing to examine their medical records, or return the referral to you requesting further information. The following details should always be included where able: </w:t>
      </w:r>
    </w:p>
    <w:p w14:paraId="18B2C06D" w14:textId="77777777" w:rsidR="007A4B06" w:rsidRPr="00243CD0" w:rsidRDefault="007A4B06" w:rsidP="00432C1B">
      <w:pPr>
        <w:rPr>
          <w:rFonts w:ascii="Arial" w:hAnsi="Arial" w:cs="Arial"/>
          <w:b/>
          <w:bCs/>
        </w:rPr>
      </w:pPr>
    </w:p>
    <w:p w14:paraId="334DC124" w14:textId="0F6869B6" w:rsidR="007A4B06" w:rsidRPr="00243CD0" w:rsidRDefault="00C87FBB" w:rsidP="00C87FBB">
      <w:pPr>
        <w:pStyle w:val="ListParagraph"/>
        <w:numPr>
          <w:ilvl w:val="0"/>
          <w:numId w:val="22"/>
        </w:numPr>
        <w:rPr>
          <w:rFonts w:ascii="Arial" w:hAnsi="Arial" w:cs="Arial"/>
          <w:sz w:val="24"/>
          <w:szCs w:val="24"/>
        </w:rPr>
      </w:pPr>
      <w:r w:rsidRPr="00243CD0">
        <w:rPr>
          <w:rFonts w:ascii="Arial" w:hAnsi="Arial" w:cs="Arial"/>
          <w:sz w:val="24"/>
          <w:szCs w:val="24"/>
        </w:rPr>
        <w:t>Contact details</w:t>
      </w:r>
    </w:p>
    <w:p w14:paraId="726389A2" w14:textId="47B149B8" w:rsidR="00C87FBB" w:rsidRPr="00243CD0" w:rsidRDefault="00C87FBB" w:rsidP="00C87FBB">
      <w:pPr>
        <w:pStyle w:val="ListParagraph"/>
        <w:numPr>
          <w:ilvl w:val="0"/>
          <w:numId w:val="22"/>
        </w:numPr>
        <w:rPr>
          <w:rFonts w:ascii="Arial" w:hAnsi="Arial" w:cs="Arial"/>
          <w:sz w:val="24"/>
          <w:szCs w:val="24"/>
        </w:rPr>
      </w:pPr>
      <w:r w:rsidRPr="00243CD0">
        <w:rPr>
          <w:rFonts w:ascii="Arial" w:hAnsi="Arial" w:cs="Arial"/>
          <w:sz w:val="24"/>
          <w:szCs w:val="24"/>
        </w:rPr>
        <w:t>Current medications (including bone health medications)</w:t>
      </w:r>
    </w:p>
    <w:p w14:paraId="228A48AC" w14:textId="303E1027" w:rsidR="00C87FBB" w:rsidRPr="00243CD0" w:rsidRDefault="00C87FBB" w:rsidP="00C87FBB">
      <w:pPr>
        <w:pStyle w:val="ListParagraph"/>
        <w:numPr>
          <w:ilvl w:val="0"/>
          <w:numId w:val="22"/>
        </w:numPr>
        <w:rPr>
          <w:rFonts w:ascii="Arial" w:hAnsi="Arial" w:cs="Arial"/>
          <w:sz w:val="24"/>
          <w:szCs w:val="24"/>
        </w:rPr>
      </w:pPr>
      <w:r w:rsidRPr="00243CD0">
        <w:rPr>
          <w:rFonts w:ascii="Arial" w:hAnsi="Arial" w:cs="Arial"/>
          <w:sz w:val="24"/>
          <w:szCs w:val="24"/>
        </w:rPr>
        <w:t>Any requested or resulted investigation for bone health (Bloods, DEXA)</w:t>
      </w:r>
    </w:p>
    <w:p w14:paraId="586CC84E" w14:textId="55C69EA6" w:rsidR="00C87FBB" w:rsidRPr="00243CD0" w:rsidRDefault="00C87FBB" w:rsidP="00C87FBB">
      <w:pPr>
        <w:pStyle w:val="ListParagraph"/>
        <w:numPr>
          <w:ilvl w:val="0"/>
          <w:numId w:val="22"/>
        </w:numPr>
        <w:rPr>
          <w:rFonts w:ascii="Arial" w:hAnsi="Arial" w:cs="Arial"/>
          <w:sz w:val="24"/>
          <w:szCs w:val="24"/>
        </w:rPr>
      </w:pPr>
      <w:r w:rsidRPr="00243CD0">
        <w:rPr>
          <w:rFonts w:ascii="Arial" w:hAnsi="Arial" w:cs="Arial"/>
          <w:sz w:val="24"/>
          <w:szCs w:val="24"/>
        </w:rPr>
        <w:t>Reason for referral</w:t>
      </w:r>
    </w:p>
    <w:p w14:paraId="3A39EFAF" w14:textId="414F2870" w:rsidR="00432C1B" w:rsidRPr="00243CD0" w:rsidRDefault="00432C1B" w:rsidP="00432C1B">
      <w:pPr>
        <w:rPr>
          <w:rFonts w:ascii="Arial" w:hAnsi="Arial" w:cs="Arial"/>
          <w:b/>
          <w:bCs/>
          <w:u w:val="single"/>
        </w:rPr>
      </w:pPr>
      <w:r w:rsidRPr="00243CD0">
        <w:rPr>
          <w:rFonts w:ascii="Arial" w:hAnsi="Arial" w:cs="Arial"/>
          <w:b/>
          <w:bCs/>
          <w:u w:val="single"/>
        </w:rPr>
        <w:t>Referral Option Routes</w:t>
      </w:r>
    </w:p>
    <w:p w14:paraId="4214AED6" w14:textId="77777777" w:rsidR="00432C1B" w:rsidRPr="00243CD0" w:rsidRDefault="00432C1B" w:rsidP="00432C1B">
      <w:pPr>
        <w:rPr>
          <w:rFonts w:ascii="Arial" w:hAnsi="Arial" w:cs="Arial"/>
          <w:b/>
          <w:bCs/>
          <w:u w:val="single"/>
        </w:rPr>
      </w:pPr>
    </w:p>
    <w:p w14:paraId="075E51A4" w14:textId="0E27C9FB" w:rsidR="004B2B46" w:rsidRPr="00243CD0" w:rsidRDefault="004B2B46" w:rsidP="004B2B46">
      <w:pPr>
        <w:pStyle w:val="ListParagraph"/>
        <w:numPr>
          <w:ilvl w:val="0"/>
          <w:numId w:val="18"/>
        </w:numPr>
        <w:rPr>
          <w:rFonts w:ascii="Arial" w:hAnsi="Arial" w:cs="Arial"/>
          <w:sz w:val="24"/>
          <w:szCs w:val="24"/>
        </w:rPr>
      </w:pPr>
      <w:r w:rsidRPr="00243CD0">
        <w:rPr>
          <w:rFonts w:ascii="Arial" w:hAnsi="Arial" w:cs="Arial"/>
          <w:sz w:val="24"/>
          <w:szCs w:val="24"/>
        </w:rPr>
        <w:t>Patients can self-refer by telephone to the Care Co-Ordination Hub -  01482 247111</w:t>
      </w:r>
    </w:p>
    <w:p w14:paraId="6A12750D" w14:textId="3C891285" w:rsidR="00432C1B" w:rsidRPr="00243CD0" w:rsidRDefault="00200B07" w:rsidP="004B2B46">
      <w:pPr>
        <w:pStyle w:val="ListParagraph"/>
        <w:numPr>
          <w:ilvl w:val="0"/>
          <w:numId w:val="18"/>
        </w:numPr>
        <w:rPr>
          <w:rFonts w:ascii="Arial" w:hAnsi="Arial" w:cs="Arial"/>
          <w:sz w:val="24"/>
          <w:szCs w:val="24"/>
        </w:rPr>
      </w:pPr>
      <w:r w:rsidRPr="00243CD0">
        <w:rPr>
          <w:rFonts w:ascii="Arial" w:hAnsi="Arial" w:cs="Arial"/>
          <w:sz w:val="24"/>
          <w:szCs w:val="24"/>
        </w:rPr>
        <w:t>R</w:t>
      </w:r>
      <w:r w:rsidR="004B2B46" w:rsidRPr="00243CD0">
        <w:rPr>
          <w:rFonts w:ascii="Arial" w:hAnsi="Arial" w:cs="Arial"/>
          <w:sz w:val="24"/>
          <w:szCs w:val="24"/>
        </w:rPr>
        <w:t>eferral form</w:t>
      </w:r>
      <w:r w:rsidRPr="00243CD0">
        <w:rPr>
          <w:rFonts w:ascii="Arial" w:hAnsi="Arial" w:cs="Arial"/>
          <w:sz w:val="24"/>
          <w:szCs w:val="24"/>
        </w:rPr>
        <w:t xml:space="preserve"> emailed to Care Co-Ordination Hub - </w:t>
      </w:r>
      <w:hyperlink r:id="rId8" w:history="1">
        <w:r w:rsidRPr="00243CD0">
          <w:rPr>
            <w:rStyle w:val="Hyperlink"/>
            <w:rFonts w:ascii="Arial" w:hAnsi="Arial" w:cs="Arial"/>
            <w:sz w:val="24"/>
            <w:szCs w:val="24"/>
          </w:rPr>
          <w:t>chcp.247111@nhs.net</w:t>
        </w:r>
      </w:hyperlink>
      <w:r w:rsidRPr="00243CD0">
        <w:rPr>
          <w:rFonts w:ascii="Arial" w:hAnsi="Arial" w:cs="Arial"/>
          <w:sz w:val="24"/>
          <w:szCs w:val="24"/>
        </w:rPr>
        <w:t xml:space="preserve"> </w:t>
      </w:r>
    </w:p>
    <w:p w14:paraId="726F6A82" w14:textId="328C7AAD" w:rsidR="00200B07" w:rsidRPr="00243CD0" w:rsidRDefault="00200B07" w:rsidP="004B2B46">
      <w:pPr>
        <w:pStyle w:val="ListParagraph"/>
        <w:numPr>
          <w:ilvl w:val="0"/>
          <w:numId w:val="18"/>
        </w:numPr>
        <w:rPr>
          <w:rFonts w:ascii="Arial" w:hAnsi="Arial" w:cs="Arial"/>
          <w:sz w:val="24"/>
          <w:szCs w:val="24"/>
        </w:rPr>
      </w:pPr>
      <w:r w:rsidRPr="00243CD0">
        <w:rPr>
          <w:rFonts w:ascii="Arial" w:hAnsi="Arial" w:cs="Arial"/>
          <w:sz w:val="24"/>
          <w:szCs w:val="24"/>
        </w:rPr>
        <w:t xml:space="preserve">SystmOne to SystmOne referral for internal CHCP services </w:t>
      </w:r>
    </w:p>
    <w:p w14:paraId="6B850706" w14:textId="77777777" w:rsidR="00432C1B" w:rsidRPr="00243CD0" w:rsidRDefault="00432C1B" w:rsidP="00432C1B">
      <w:pPr>
        <w:rPr>
          <w:rFonts w:ascii="Arial" w:hAnsi="Arial" w:cs="Arial"/>
          <w:b/>
          <w:bCs/>
          <w:u w:val="single"/>
        </w:rPr>
      </w:pPr>
    </w:p>
    <w:p w14:paraId="62D3FC8C" w14:textId="77777777" w:rsidR="00243CD0" w:rsidRPr="00243CD0" w:rsidRDefault="00243CD0" w:rsidP="00432C1B">
      <w:pPr>
        <w:rPr>
          <w:rFonts w:ascii="Arial" w:hAnsi="Arial" w:cs="Arial"/>
          <w:b/>
          <w:bCs/>
          <w:u w:val="single"/>
        </w:rPr>
      </w:pPr>
    </w:p>
    <w:p w14:paraId="696B71AE" w14:textId="77777777" w:rsidR="00432C1B" w:rsidRPr="00243CD0" w:rsidRDefault="00432C1B" w:rsidP="00432C1B">
      <w:pPr>
        <w:rPr>
          <w:rFonts w:ascii="Arial" w:hAnsi="Arial" w:cs="Arial"/>
          <w:b/>
          <w:bCs/>
          <w:u w:val="single"/>
        </w:rPr>
      </w:pPr>
      <w:r w:rsidRPr="00243CD0">
        <w:rPr>
          <w:rFonts w:ascii="Arial" w:hAnsi="Arial" w:cs="Arial"/>
          <w:b/>
          <w:bCs/>
          <w:u w:val="single"/>
        </w:rPr>
        <w:t>Triage Criteria</w:t>
      </w:r>
    </w:p>
    <w:p w14:paraId="59F50DD4" w14:textId="77777777" w:rsidR="00432C1B" w:rsidRPr="00243CD0" w:rsidRDefault="00432C1B" w:rsidP="00432C1B">
      <w:pPr>
        <w:rPr>
          <w:rFonts w:ascii="Arial" w:hAnsi="Arial" w:cs="Arial"/>
          <w:b/>
          <w:bCs/>
          <w:u w:val="single"/>
        </w:rPr>
      </w:pPr>
    </w:p>
    <w:p w14:paraId="5D18AD37" w14:textId="2718BB58" w:rsidR="00432C1B" w:rsidRPr="00A313E7" w:rsidRDefault="00657371" w:rsidP="00432C1B">
      <w:pPr>
        <w:rPr>
          <w:rFonts w:ascii="Arial" w:hAnsi="Arial" w:cs="Arial"/>
        </w:rPr>
      </w:pPr>
      <w:r w:rsidRPr="00A313E7">
        <w:rPr>
          <w:rFonts w:ascii="Arial" w:hAnsi="Arial" w:cs="Arial"/>
        </w:rPr>
        <w:t xml:space="preserve">Patients that are referred to the fracture liaison service will be triaged within 4 weeks. </w:t>
      </w:r>
    </w:p>
    <w:p w14:paraId="1C0D0008" w14:textId="77777777" w:rsidR="00657371" w:rsidRPr="00243CD0" w:rsidRDefault="00657371" w:rsidP="00432C1B">
      <w:pPr>
        <w:rPr>
          <w:rFonts w:ascii="Arial" w:hAnsi="Arial" w:cs="Arial"/>
          <w:b/>
          <w:bCs/>
        </w:rPr>
      </w:pPr>
    </w:p>
    <w:p w14:paraId="65657239" w14:textId="271BB21B" w:rsidR="00432C1B" w:rsidRPr="00243CD0" w:rsidRDefault="00432C1B" w:rsidP="00432C1B">
      <w:pPr>
        <w:rPr>
          <w:rFonts w:ascii="Arial" w:hAnsi="Arial" w:cs="Arial"/>
          <w:b/>
          <w:bCs/>
          <w:u w:val="single"/>
        </w:rPr>
      </w:pPr>
      <w:r w:rsidRPr="00243CD0">
        <w:rPr>
          <w:rFonts w:ascii="Arial" w:hAnsi="Arial" w:cs="Arial"/>
          <w:b/>
          <w:bCs/>
          <w:u w:val="single"/>
        </w:rPr>
        <w:t xml:space="preserve">Important Information </w:t>
      </w:r>
    </w:p>
    <w:p w14:paraId="7FDBDFDA" w14:textId="77777777" w:rsidR="00432C1B" w:rsidRPr="00243CD0" w:rsidRDefault="00432C1B" w:rsidP="00432C1B">
      <w:pPr>
        <w:rPr>
          <w:rFonts w:ascii="Arial" w:hAnsi="Arial" w:cs="Arial"/>
          <w:b/>
          <w:bCs/>
          <w:u w:val="single"/>
        </w:rPr>
      </w:pPr>
    </w:p>
    <w:p w14:paraId="5EB0182F" w14:textId="72CAB208" w:rsidR="00D84572" w:rsidRPr="00A313E7" w:rsidRDefault="00657371" w:rsidP="00432C1B">
      <w:pPr>
        <w:rPr>
          <w:rFonts w:ascii="Arial" w:hAnsi="Arial" w:cs="Arial"/>
        </w:rPr>
      </w:pPr>
      <w:r w:rsidRPr="00A313E7">
        <w:rPr>
          <w:rFonts w:ascii="Arial" w:hAnsi="Arial" w:cs="Arial"/>
        </w:rPr>
        <w:t xml:space="preserve">The Fracture Liaison Service is not a primary prevention service and will not currently see patients that are high risk for osteoporosis without fracture.  </w:t>
      </w:r>
    </w:p>
    <w:p w14:paraId="2174FD7F" w14:textId="77777777" w:rsidR="00084E3E" w:rsidRPr="00243CD0" w:rsidRDefault="00084E3E" w:rsidP="00432C1B">
      <w:pPr>
        <w:rPr>
          <w:rFonts w:ascii="Arial" w:hAnsi="Arial" w:cs="Arial"/>
        </w:rPr>
      </w:pPr>
    </w:p>
    <w:p w14:paraId="56565708" w14:textId="21A40BE9" w:rsidR="00AA2695" w:rsidRPr="00243CD0" w:rsidRDefault="00965B64" w:rsidP="00E134B4">
      <w:pPr>
        <w:rPr>
          <w:rFonts w:ascii="Arial" w:hAnsi="Arial" w:cs="Arial"/>
          <w:b/>
          <w:bCs/>
          <w:u w:val="single"/>
        </w:rPr>
      </w:pPr>
      <w:r w:rsidRPr="00243CD0">
        <w:rPr>
          <w:rFonts w:ascii="Arial" w:hAnsi="Arial" w:cs="Arial"/>
          <w:b/>
          <w:bCs/>
          <w:u w:val="single"/>
        </w:rPr>
        <w:t xml:space="preserve">Exclusion Criteria and options for alternative services </w:t>
      </w:r>
    </w:p>
    <w:p w14:paraId="49293D9D" w14:textId="77777777" w:rsidR="00657371" w:rsidRPr="00243CD0" w:rsidRDefault="00657371" w:rsidP="00E134B4">
      <w:pPr>
        <w:rPr>
          <w:rFonts w:ascii="Arial" w:hAnsi="Arial" w:cs="Arial"/>
          <w:b/>
          <w:bCs/>
          <w:u w:val="single"/>
        </w:rPr>
      </w:pPr>
    </w:p>
    <w:p w14:paraId="45681887" w14:textId="007217DC" w:rsidR="00657371" w:rsidRPr="00243CD0" w:rsidRDefault="00657371" w:rsidP="00243CD0">
      <w:pPr>
        <w:pStyle w:val="ListParagraph"/>
        <w:numPr>
          <w:ilvl w:val="0"/>
          <w:numId w:val="25"/>
        </w:numPr>
        <w:rPr>
          <w:rFonts w:ascii="Arial" w:hAnsi="Arial" w:cs="Arial"/>
          <w:sz w:val="24"/>
          <w:szCs w:val="24"/>
        </w:rPr>
      </w:pPr>
      <w:r w:rsidRPr="00243CD0">
        <w:rPr>
          <w:rFonts w:ascii="Arial" w:hAnsi="Arial" w:cs="Arial"/>
          <w:sz w:val="24"/>
          <w:szCs w:val="24"/>
        </w:rPr>
        <w:t>For pain – GP review</w:t>
      </w:r>
    </w:p>
    <w:p w14:paraId="152FEDA4" w14:textId="3F583607" w:rsidR="00657371" w:rsidRPr="00243CD0" w:rsidRDefault="00657371" w:rsidP="00243CD0">
      <w:pPr>
        <w:pStyle w:val="ListParagraph"/>
        <w:numPr>
          <w:ilvl w:val="0"/>
          <w:numId w:val="25"/>
        </w:numPr>
        <w:rPr>
          <w:rFonts w:ascii="Arial" w:hAnsi="Arial" w:cs="Arial"/>
          <w:sz w:val="24"/>
          <w:szCs w:val="24"/>
        </w:rPr>
      </w:pPr>
      <w:r w:rsidRPr="00243CD0">
        <w:rPr>
          <w:rFonts w:ascii="Arial" w:hAnsi="Arial" w:cs="Arial"/>
          <w:sz w:val="24"/>
          <w:szCs w:val="24"/>
        </w:rPr>
        <w:t>For concerns with casts – Refer to fracture clinic</w:t>
      </w:r>
    </w:p>
    <w:p w14:paraId="7D3484CA" w14:textId="33A2BD18" w:rsidR="00657371" w:rsidRPr="00243CD0" w:rsidRDefault="00657371" w:rsidP="00243CD0">
      <w:pPr>
        <w:pStyle w:val="ListParagraph"/>
        <w:numPr>
          <w:ilvl w:val="0"/>
          <w:numId w:val="25"/>
        </w:numPr>
        <w:rPr>
          <w:rFonts w:ascii="Arial" w:hAnsi="Arial" w:cs="Arial"/>
          <w:sz w:val="24"/>
          <w:szCs w:val="24"/>
        </w:rPr>
      </w:pPr>
      <w:r w:rsidRPr="00243CD0">
        <w:rPr>
          <w:rFonts w:ascii="Arial" w:hAnsi="Arial" w:cs="Arial"/>
          <w:sz w:val="24"/>
          <w:szCs w:val="24"/>
        </w:rPr>
        <w:t>For physiotherapy following fracture - Refer to community physio service</w:t>
      </w:r>
    </w:p>
    <w:p w14:paraId="5C5051AA" w14:textId="77777777" w:rsidR="00794F20" w:rsidRPr="00243CD0" w:rsidRDefault="00794F20" w:rsidP="00794F20">
      <w:pPr>
        <w:rPr>
          <w:rFonts w:ascii="Arial" w:hAnsi="Arial" w:cs="Arial"/>
          <w:b/>
          <w:bCs/>
          <w:u w:val="single"/>
        </w:rPr>
      </w:pPr>
      <w:r w:rsidRPr="00243CD0">
        <w:rPr>
          <w:rFonts w:ascii="Arial" w:hAnsi="Arial" w:cs="Arial"/>
          <w:b/>
          <w:bCs/>
          <w:u w:val="single"/>
        </w:rPr>
        <w:t>Exclusions:</w:t>
      </w:r>
    </w:p>
    <w:p w14:paraId="2FE4A31D" w14:textId="77777777" w:rsidR="00657371" w:rsidRPr="00243CD0" w:rsidRDefault="00657371" w:rsidP="00794F20">
      <w:pPr>
        <w:rPr>
          <w:rFonts w:ascii="Arial" w:hAnsi="Arial" w:cs="Arial"/>
          <w:b/>
          <w:bCs/>
          <w:u w:val="single"/>
        </w:rPr>
      </w:pPr>
    </w:p>
    <w:p w14:paraId="59BE3B13" w14:textId="3B7B8CE5" w:rsidR="00794F20" w:rsidRPr="00243CD0" w:rsidRDefault="00794F20" w:rsidP="00243CD0">
      <w:pPr>
        <w:pStyle w:val="ListParagraph"/>
        <w:numPr>
          <w:ilvl w:val="0"/>
          <w:numId w:val="26"/>
        </w:numPr>
        <w:rPr>
          <w:rFonts w:ascii="Arial" w:hAnsi="Arial" w:cs="Arial"/>
          <w:sz w:val="24"/>
          <w:szCs w:val="24"/>
        </w:rPr>
      </w:pPr>
      <w:r w:rsidRPr="00243CD0">
        <w:rPr>
          <w:rFonts w:ascii="Arial" w:hAnsi="Arial" w:cs="Arial"/>
          <w:sz w:val="24"/>
          <w:szCs w:val="24"/>
        </w:rPr>
        <w:t xml:space="preserve">Under </w:t>
      </w:r>
      <w:r w:rsidR="00657371" w:rsidRPr="00243CD0">
        <w:rPr>
          <w:rFonts w:ascii="Arial" w:hAnsi="Arial" w:cs="Arial"/>
          <w:sz w:val="24"/>
          <w:szCs w:val="24"/>
        </w:rPr>
        <w:t xml:space="preserve">50 </w:t>
      </w:r>
      <w:r w:rsidRPr="00243CD0">
        <w:rPr>
          <w:rFonts w:ascii="Arial" w:hAnsi="Arial" w:cs="Arial"/>
          <w:sz w:val="24"/>
          <w:szCs w:val="24"/>
        </w:rPr>
        <w:t xml:space="preserve">years of age </w:t>
      </w:r>
    </w:p>
    <w:p w14:paraId="59A7B2CF" w14:textId="18AD307B" w:rsidR="00657371" w:rsidRPr="00243CD0" w:rsidRDefault="00657371" w:rsidP="00243CD0">
      <w:pPr>
        <w:pStyle w:val="ListParagraph"/>
        <w:numPr>
          <w:ilvl w:val="0"/>
          <w:numId w:val="26"/>
        </w:numPr>
        <w:rPr>
          <w:rFonts w:ascii="Arial" w:hAnsi="Arial" w:cs="Arial"/>
          <w:sz w:val="24"/>
          <w:szCs w:val="24"/>
        </w:rPr>
      </w:pPr>
      <w:r w:rsidRPr="00243CD0">
        <w:rPr>
          <w:rFonts w:ascii="Arial" w:hAnsi="Arial" w:cs="Arial"/>
          <w:sz w:val="24"/>
          <w:szCs w:val="24"/>
        </w:rPr>
        <w:t xml:space="preserve">No fracture </w:t>
      </w:r>
    </w:p>
    <w:tbl>
      <w:tblPr>
        <w:tblStyle w:val="TableGrid"/>
        <w:tblW w:w="11766" w:type="dxa"/>
        <w:tblInd w:w="-5" w:type="dxa"/>
        <w:tblLook w:val="04A0" w:firstRow="1" w:lastRow="0" w:firstColumn="1" w:lastColumn="0" w:noHBand="0" w:noVBand="1"/>
      </w:tblPr>
      <w:tblGrid>
        <w:gridCol w:w="3523"/>
        <w:gridCol w:w="8243"/>
      </w:tblGrid>
      <w:tr w:rsidR="00965B64" w:rsidRPr="00243CD0" w14:paraId="20F2E4ED" w14:textId="77777777" w:rsidTr="00DB662F">
        <w:trPr>
          <w:trHeight w:val="412"/>
        </w:trPr>
        <w:tc>
          <w:tcPr>
            <w:tcW w:w="3523" w:type="dxa"/>
            <w:shd w:val="clear" w:color="auto" w:fill="D9E2F3" w:themeFill="accent1" w:themeFillTint="33"/>
            <w:vAlign w:val="center"/>
          </w:tcPr>
          <w:p w14:paraId="6B0FFBCF" w14:textId="77777777" w:rsidR="00965B64" w:rsidRPr="00243CD0" w:rsidRDefault="00965B64" w:rsidP="00E134B4">
            <w:pPr>
              <w:rPr>
                <w:rFonts w:ascii="Arial" w:eastAsia="Calibri" w:hAnsi="Arial" w:cs="Arial"/>
                <w:b/>
                <w:sz w:val="24"/>
                <w:szCs w:val="24"/>
              </w:rPr>
            </w:pPr>
            <w:r w:rsidRPr="00243CD0">
              <w:rPr>
                <w:rFonts w:ascii="Arial" w:eastAsia="Calibri" w:hAnsi="Arial" w:cs="Arial"/>
                <w:b/>
                <w:sz w:val="24"/>
                <w:szCs w:val="24"/>
              </w:rPr>
              <w:t>FOR PATIENTS REQUIRING:</w:t>
            </w:r>
          </w:p>
        </w:tc>
        <w:tc>
          <w:tcPr>
            <w:tcW w:w="8243" w:type="dxa"/>
            <w:shd w:val="clear" w:color="auto" w:fill="D9E2F3" w:themeFill="accent1" w:themeFillTint="33"/>
            <w:vAlign w:val="center"/>
          </w:tcPr>
          <w:p w14:paraId="5F3C220B" w14:textId="6952F9E3" w:rsidR="00965B64" w:rsidRPr="00243CD0" w:rsidRDefault="00965B64" w:rsidP="00E134B4">
            <w:pPr>
              <w:rPr>
                <w:rFonts w:ascii="Arial" w:eastAsia="Calibri" w:hAnsi="Arial" w:cs="Arial"/>
                <w:b/>
                <w:sz w:val="24"/>
                <w:szCs w:val="24"/>
              </w:rPr>
            </w:pPr>
            <w:r w:rsidRPr="00243CD0">
              <w:rPr>
                <w:rFonts w:ascii="Arial" w:eastAsia="Calibri" w:hAnsi="Arial" w:cs="Arial"/>
                <w:b/>
                <w:sz w:val="24"/>
                <w:szCs w:val="24"/>
              </w:rPr>
              <w:t>REFERRAL OPTIONS FOR APPROPR</w:t>
            </w:r>
            <w:r w:rsidR="00DB662F" w:rsidRPr="00243CD0">
              <w:rPr>
                <w:rFonts w:ascii="Arial" w:eastAsia="Calibri" w:hAnsi="Arial" w:cs="Arial"/>
                <w:b/>
                <w:sz w:val="24"/>
                <w:szCs w:val="24"/>
              </w:rPr>
              <w:t>IA</w:t>
            </w:r>
            <w:r w:rsidRPr="00243CD0">
              <w:rPr>
                <w:rFonts w:ascii="Arial" w:eastAsia="Calibri" w:hAnsi="Arial" w:cs="Arial"/>
                <w:b/>
                <w:sz w:val="24"/>
                <w:szCs w:val="24"/>
              </w:rPr>
              <w:t>TE PATIENT MANAGEMENT</w:t>
            </w:r>
          </w:p>
        </w:tc>
      </w:tr>
      <w:tr w:rsidR="00965B64" w:rsidRPr="00243CD0" w14:paraId="1E90DC58" w14:textId="77777777" w:rsidTr="00DB662F">
        <w:tc>
          <w:tcPr>
            <w:tcW w:w="3523" w:type="dxa"/>
          </w:tcPr>
          <w:p w14:paraId="22AF9875" w14:textId="3E3B5B4E" w:rsidR="00F1673C" w:rsidRPr="00243CD0" w:rsidRDefault="00657371" w:rsidP="00657371">
            <w:pPr>
              <w:rPr>
                <w:rFonts w:ascii="Arial" w:hAnsi="Arial" w:cs="Arial"/>
                <w:sz w:val="24"/>
                <w:szCs w:val="24"/>
              </w:rPr>
            </w:pPr>
            <w:r w:rsidRPr="00243CD0">
              <w:rPr>
                <w:rFonts w:ascii="Arial" w:hAnsi="Arial" w:cs="Arial"/>
                <w:sz w:val="24"/>
                <w:szCs w:val="24"/>
              </w:rPr>
              <w:t xml:space="preserve">Support after 12 months of starting treatment </w:t>
            </w:r>
          </w:p>
        </w:tc>
        <w:tc>
          <w:tcPr>
            <w:tcW w:w="8243" w:type="dxa"/>
          </w:tcPr>
          <w:p w14:paraId="16BB95EC" w14:textId="06AD4890" w:rsidR="00965B64" w:rsidRPr="00243CD0" w:rsidRDefault="00657371" w:rsidP="00E134B4">
            <w:pPr>
              <w:rPr>
                <w:rFonts w:ascii="Arial" w:eastAsia="Calibri" w:hAnsi="Arial" w:cs="Arial"/>
                <w:sz w:val="24"/>
                <w:szCs w:val="24"/>
              </w:rPr>
            </w:pPr>
            <w:r w:rsidRPr="00243CD0">
              <w:rPr>
                <w:rFonts w:ascii="Arial" w:eastAsia="Calibri" w:hAnsi="Arial" w:cs="Arial"/>
                <w:sz w:val="24"/>
                <w:szCs w:val="24"/>
              </w:rPr>
              <w:t>GP to support</w:t>
            </w:r>
          </w:p>
          <w:p w14:paraId="35732CF7" w14:textId="572524B5" w:rsidR="00965B64" w:rsidRPr="00243CD0" w:rsidRDefault="00965B64" w:rsidP="00E134B4">
            <w:pPr>
              <w:rPr>
                <w:rFonts w:ascii="Arial" w:eastAsia="Calibri" w:hAnsi="Arial" w:cs="Arial"/>
                <w:sz w:val="24"/>
                <w:szCs w:val="24"/>
              </w:rPr>
            </w:pPr>
          </w:p>
        </w:tc>
      </w:tr>
      <w:tr w:rsidR="00965B64" w:rsidRPr="00243CD0" w14:paraId="734044B4" w14:textId="77777777" w:rsidTr="00DB662F">
        <w:tc>
          <w:tcPr>
            <w:tcW w:w="3523" w:type="dxa"/>
          </w:tcPr>
          <w:p w14:paraId="3661E2ED" w14:textId="7E000E5E" w:rsidR="00F1673C" w:rsidRPr="00243CD0" w:rsidRDefault="00F1673C" w:rsidP="00965FA0">
            <w:pPr>
              <w:rPr>
                <w:rFonts w:ascii="Arial" w:hAnsi="Arial" w:cs="Arial"/>
                <w:sz w:val="24"/>
                <w:szCs w:val="24"/>
              </w:rPr>
            </w:pPr>
          </w:p>
        </w:tc>
        <w:tc>
          <w:tcPr>
            <w:tcW w:w="8243" w:type="dxa"/>
          </w:tcPr>
          <w:p w14:paraId="7C9ECD8B" w14:textId="5C7CEAC6" w:rsidR="00965B64" w:rsidRPr="00243CD0" w:rsidRDefault="00965B64" w:rsidP="00E134B4">
            <w:pPr>
              <w:rPr>
                <w:rFonts w:ascii="Arial" w:eastAsia="Calibri" w:hAnsi="Arial" w:cs="Arial"/>
                <w:sz w:val="24"/>
                <w:szCs w:val="24"/>
              </w:rPr>
            </w:pPr>
          </w:p>
        </w:tc>
      </w:tr>
      <w:tr w:rsidR="00965B64" w:rsidRPr="00243CD0" w14:paraId="259B2285" w14:textId="77777777" w:rsidTr="00DB662F">
        <w:tc>
          <w:tcPr>
            <w:tcW w:w="3523" w:type="dxa"/>
          </w:tcPr>
          <w:p w14:paraId="0398AD4C" w14:textId="6E11AAFA" w:rsidR="00F1673C" w:rsidRPr="00243CD0" w:rsidRDefault="00F1673C" w:rsidP="00965FA0">
            <w:pPr>
              <w:rPr>
                <w:rFonts w:ascii="Arial" w:hAnsi="Arial" w:cs="Arial"/>
                <w:sz w:val="24"/>
                <w:szCs w:val="24"/>
              </w:rPr>
            </w:pPr>
          </w:p>
        </w:tc>
        <w:tc>
          <w:tcPr>
            <w:tcW w:w="8243" w:type="dxa"/>
          </w:tcPr>
          <w:p w14:paraId="452488A6" w14:textId="22A6A4EC" w:rsidR="00965B64" w:rsidRPr="00243CD0" w:rsidRDefault="00965FA0" w:rsidP="00E134B4">
            <w:pPr>
              <w:rPr>
                <w:rFonts w:ascii="Arial" w:eastAsia="Calibri" w:hAnsi="Arial" w:cs="Arial"/>
                <w:sz w:val="24"/>
                <w:szCs w:val="24"/>
              </w:rPr>
            </w:pPr>
            <w:r w:rsidRPr="00243CD0">
              <w:rPr>
                <w:rFonts w:ascii="Arial" w:eastAsia="Calibri" w:hAnsi="Arial" w:cs="Arial"/>
                <w:sz w:val="24"/>
                <w:szCs w:val="24"/>
              </w:rPr>
              <w:t xml:space="preserve"> </w:t>
            </w:r>
          </w:p>
        </w:tc>
      </w:tr>
      <w:tr w:rsidR="00965B64" w:rsidRPr="00243CD0" w14:paraId="1F330BCB" w14:textId="77777777" w:rsidTr="00DB662F">
        <w:tc>
          <w:tcPr>
            <w:tcW w:w="3523" w:type="dxa"/>
          </w:tcPr>
          <w:p w14:paraId="4B881677" w14:textId="6C22B380" w:rsidR="00F1673C" w:rsidRPr="00243CD0" w:rsidRDefault="00F1673C" w:rsidP="00965FA0">
            <w:pPr>
              <w:rPr>
                <w:rFonts w:ascii="Arial" w:hAnsi="Arial" w:cs="Arial"/>
                <w:sz w:val="24"/>
                <w:szCs w:val="24"/>
              </w:rPr>
            </w:pPr>
          </w:p>
        </w:tc>
        <w:tc>
          <w:tcPr>
            <w:tcW w:w="8243" w:type="dxa"/>
          </w:tcPr>
          <w:p w14:paraId="2EFC46C0" w14:textId="4242903E" w:rsidR="00965B64" w:rsidRPr="00243CD0" w:rsidRDefault="00965B64" w:rsidP="00E134B4">
            <w:pPr>
              <w:rPr>
                <w:rFonts w:ascii="Arial" w:eastAsia="Calibri" w:hAnsi="Arial" w:cs="Arial"/>
                <w:sz w:val="24"/>
                <w:szCs w:val="24"/>
              </w:rPr>
            </w:pPr>
          </w:p>
        </w:tc>
      </w:tr>
      <w:tr w:rsidR="00965B64" w:rsidRPr="00243CD0" w14:paraId="4D17F2AF" w14:textId="77777777" w:rsidTr="00DB662F">
        <w:tc>
          <w:tcPr>
            <w:tcW w:w="3523" w:type="dxa"/>
          </w:tcPr>
          <w:p w14:paraId="04582EA3" w14:textId="58246E8D" w:rsidR="00F1673C" w:rsidRPr="00243CD0" w:rsidRDefault="00F1673C" w:rsidP="00E134B4">
            <w:pPr>
              <w:pStyle w:val="ListParagraph"/>
              <w:spacing w:after="0" w:line="240" w:lineRule="auto"/>
              <w:ind w:left="1080"/>
              <w:rPr>
                <w:rFonts w:ascii="Arial" w:hAnsi="Arial" w:cs="Arial"/>
                <w:sz w:val="24"/>
                <w:szCs w:val="24"/>
              </w:rPr>
            </w:pPr>
          </w:p>
        </w:tc>
        <w:tc>
          <w:tcPr>
            <w:tcW w:w="8243" w:type="dxa"/>
          </w:tcPr>
          <w:p w14:paraId="4601C60E" w14:textId="0EA474AA" w:rsidR="00965B64" w:rsidRPr="00243CD0" w:rsidRDefault="00965B64" w:rsidP="00E134B4">
            <w:pPr>
              <w:rPr>
                <w:rFonts w:ascii="Arial" w:eastAsia="Calibri" w:hAnsi="Arial" w:cs="Arial"/>
                <w:sz w:val="24"/>
                <w:szCs w:val="24"/>
              </w:rPr>
            </w:pPr>
          </w:p>
        </w:tc>
      </w:tr>
      <w:tr w:rsidR="00965B64" w:rsidRPr="00243CD0" w14:paraId="0C5B084A" w14:textId="77777777" w:rsidTr="00DB662F">
        <w:tc>
          <w:tcPr>
            <w:tcW w:w="3523" w:type="dxa"/>
          </w:tcPr>
          <w:p w14:paraId="2AC5F71F" w14:textId="1A593A75" w:rsidR="00965B64" w:rsidRPr="00243CD0" w:rsidRDefault="00965B64" w:rsidP="00EB35A4">
            <w:pPr>
              <w:rPr>
                <w:rFonts w:ascii="Arial" w:hAnsi="Arial" w:cs="Arial"/>
                <w:sz w:val="24"/>
                <w:szCs w:val="24"/>
              </w:rPr>
            </w:pPr>
          </w:p>
        </w:tc>
        <w:tc>
          <w:tcPr>
            <w:tcW w:w="8243" w:type="dxa"/>
          </w:tcPr>
          <w:p w14:paraId="07A6280C" w14:textId="561C64F0" w:rsidR="00965B64" w:rsidRPr="00243CD0" w:rsidRDefault="00965B64" w:rsidP="00E134B4">
            <w:pPr>
              <w:rPr>
                <w:rFonts w:ascii="Arial" w:eastAsia="Calibri" w:hAnsi="Arial" w:cs="Arial"/>
                <w:sz w:val="24"/>
                <w:szCs w:val="24"/>
              </w:rPr>
            </w:pPr>
          </w:p>
        </w:tc>
      </w:tr>
    </w:tbl>
    <w:p w14:paraId="6BAD093C" w14:textId="68483F1A" w:rsidR="00965B64" w:rsidRPr="00243CD0" w:rsidRDefault="00965B64" w:rsidP="00E134B4">
      <w:pPr>
        <w:rPr>
          <w:rFonts w:ascii="Arial" w:hAnsi="Arial" w:cs="Arial"/>
        </w:rPr>
      </w:pPr>
    </w:p>
    <w:sectPr w:rsidR="00965B64" w:rsidRPr="00243CD0" w:rsidSect="00F116AB">
      <w:headerReference w:type="default" r:id="rId9"/>
      <w:footerReference w:type="default" r:id="rId10"/>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2DC2F" w14:textId="77777777" w:rsidR="006036C2" w:rsidRDefault="006036C2" w:rsidP="00E7593E">
      <w:r>
        <w:separator/>
      </w:r>
    </w:p>
  </w:endnote>
  <w:endnote w:type="continuationSeparator" w:id="0">
    <w:p w14:paraId="6EA7A58B" w14:textId="77777777" w:rsidR="006036C2" w:rsidRDefault="006036C2" w:rsidP="00E7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E56FA" w14:textId="77777777" w:rsidR="00E7593E" w:rsidRDefault="00E7593E">
    <w:pPr>
      <w:pStyle w:val="Footer"/>
    </w:pPr>
    <w:r>
      <w:rPr>
        <w:noProof/>
        <w:lang w:eastAsia="en-GB"/>
      </w:rPr>
      <w:drawing>
        <wp:anchor distT="0" distB="0" distL="114300" distR="114300" simplePos="0" relativeHeight="251659264" behindDoc="1" locked="1" layoutInCell="1" allowOverlap="1" wp14:anchorId="3BB5E1B9" wp14:editId="4BA14B40">
          <wp:simplePos x="0" y="0"/>
          <wp:positionH relativeFrom="column">
            <wp:posOffset>-967105</wp:posOffset>
          </wp:positionH>
          <wp:positionV relativeFrom="paragraph">
            <wp:posOffset>-598170</wp:posOffset>
          </wp:positionV>
          <wp:extent cx="5577840" cy="14204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842.018 - CHCP Retainer - Letterheads-04.png"/>
                  <pic:cNvPicPr/>
                </pic:nvPicPr>
                <pic:blipFill rotWithShape="1">
                  <a:blip r:embed="rId1">
                    <a:extLst>
                      <a:ext uri="{28A0092B-C50C-407E-A947-70E740481C1C}">
                        <a14:useLocalDpi xmlns:a14="http://schemas.microsoft.com/office/drawing/2010/main" val="0"/>
                      </a:ext>
                    </a:extLst>
                  </a:blip>
                  <a:srcRect r="26216"/>
                  <a:stretch/>
                </pic:blipFill>
                <pic:spPr bwMode="auto">
                  <a:xfrm>
                    <a:off x="0" y="0"/>
                    <a:ext cx="5577840" cy="1420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7B85E5" w14:textId="77777777" w:rsidR="00E7593E" w:rsidRDefault="00E7593E" w:rsidP="006F7A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FC669" w14:textId="77777777" w:rsidR="006036C2" w:rsidRDefault="006036C2" w:rsidP="00E7593E">
      <w:r>
        <w:separator/>
      </w:r>
    </w:p>
  </w:footnote>
  <w:footnote w:type="continuationSeparator" w:id="0">
    <w:p w14:paraId="35D4D11E" w14:textId="77777777" w:rsidR="006036C2" w:rsidRDefault="006036C2" w:rsidP="00E75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D9BDE" w14:textId="77777777" w:rsidR="00E7593E" w:rsidRDefault="00E7593E">
    <w:pPr>
      <w:pStyle w:val="Header"/>
    </w:pPr>
    <w:r>
      <w:rPr>
        <w:noProof/>
        <w:lang w:eastAsia="en-GB"/>
      </w:rPr>
      <w:drawing>
        <wp:anchor distT="0" distB="0" distL="114300" distR="114300" simplePos="0" relativeHeight="251658240" behindDoc="1" locked="1" layoutInCell="1" allowOverlap="1" wp14:anchorId="7B6F0043" wp14:editId="247BB8C4">
          <wp:simplePos x="0" y="0"/>
          <wp:positionH relativeFrom="column">
            <wp:posOffset>2112010</wp:posOffset>
          </wp:positionH>
          <wp:positionV relativeFrom="page">
            <wp:align>top</wp:align>
          </wp:positionV>
          <wp:extent cx="7557770" cy="14325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842.018 - CHCP Retainer - Letterheads-03.png"/>
                  <pic:cNvPicPr/>
                </pic:nvPicPr>
                <pic:blipFill>
                  <a:blip r:embed="rId1">
                    <a:extLst>
                      <a:ext uri="{28A0092B-C50C-407E-A947-70E740481C1C}">
                        <a14:useLocalDpi xmlns:a14="http://schemas.microsoft.com/office/drawing/2010/main" val="0"/>
                      </a:ext>
                    </a:extLst>
                  </a:blip>
                  <a:stretch>
                    <a:fillRect/>
                  </a:stretch>
                </pic:blipFill>
                <pic:spPr>
                  <a:xfrm>
                    <a:off x="0" y="0"/>
                    <a:ext cx="7557770" cy="1432560"/>
                  </a:xfrm>
                  <a:prstGeom prst="rect">
                    <a:avLst/>
                  </a:prstGeom>
                </pic:spPr>
              </pic:pic>
            </a:graphicData>
          </a:graphic>
          <wp14:sizeRelH relativeFrom="margin">
            <wp14:pctWidth>0</wp14:pctWidth>
          </wp14:sizeRelH>
          <wp14:sizeRelV relativeFrom="margin">
            <wp14:pctHeight>0</wp14:pctHeight>
          </wp14:sizeRelV>
        </wp:anchor>
      </w:drawing>
    </w:r>
  </w:p>
  <w:p w14:paraId="52C17D5F" w14:textId="77777777" w:rsidR="00E7593E" w:rsidRDefault="00E75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0D2D"/>
    <w:multiLevelType w:val="hybridMultilevel"/>
    <w:tmpl w:val="6D2C9832"/>
    <w:lvl w:ilvl="0" w:tplc="08090001">
      <w:start w:val="1"/>
      <w:numFmt w:val="bullet"/>
      <w:lvlText w:val=""/>
      <w:lvlJc w:val="left"/>
      <w:pPr>
        <w:ind w:left="1870" w:hanging="360"/>
      </w:pPr>
      <w:rPr>
        <w:rFonts w:ascii="Symbol" w:hAnsi="Symbol" w:hint="default"/>
      </w:rPr>
    </w:lvl>
    <w:lvl w:ilvl="1" w:tplc="08090003" w:tentative="1">
      <w:start w:val="1"/>
      <w:numFmt w:val="bullet"/>
      <w:lvlText w:val="o"/>
      <w:lvlJc w:val="left"/>
      <w:pPr>
        <w:ind w:left="2590" w:hanging="360"/>
      </w:pPr>
      <w:rPr>
        <w:rFonts w:ascii="Courier New" w:hAnsi="Courier New" w:cs="Courier New" w:hint="default"/>
      </w:rPr>
    </w:lvl>
    <w:lvl w:ilvl="2" w:tplc="08090005" w:tentative="1">
      <w:start w:val="1"/>
      <w:numFmt w:val="bullet"/>
      <w:lvlText w:val=""/>
      <w:lvlJc w:val="left"/>
      <w:pPr>
        <w:ind w:left="3310" w:hanging="360"/>
      </w:pPr>
      <w:rPr>
        <w:rFonts w:ascii="Wingdings" w:hAnsi="Wingdings" w:hint="default"/>
      </w:rPr>
    </w:lvl>
    <w:lvl w:ilvl="3" w:tplc="08090001" w:tentative="1">
      <w:start w:val="1"/>
      <w:numFmt w:val="bullet"/>
      <w:lvlText w:val=""/>
      <w:lvlJc w:val="left"/>
      <w:pPr>
        <w:ind w:left="4030" w:hanging="360"/>
      </w:pPr>
      <w:rPr>
        <w:rFonts w:ascii="Symbol" w:hAnsi="Symbol" w:hint="default"/>
      </w:rPr>
    </w:lvl>
    <w:lvl w:ilvl="4" w:tplc="08090003" w:tentative="1">
      <w:start w:val="1"/>
      <w:numFmt w:val="bullet"/>
      <w:lvlText w:val="o"/>
      <w:lvlJc w:val="left"/>
      <w:pPr>
        <w:ind w:left="4750" w:hanging="360"/>
      </w:pPr>
      <w:rPr>
        <w:rFonts w:ascii="Courier New" w:hAnsi="Courier New" w:cs="Courier New" w:hint="default"/>
      </w:rPr>
    </w:lvl>
    <w:lvl w:ilvl="5" w:tplc="08090005" w:tentative="1">
      <w:start w:val="1"/>
      <w:numFmt w:val="bullet"/>
      <w:lvlText w:val=""/>
      <w:lvlJc w:val="left"/>
      <w:pPr>
        <w:ind w:left="5470" w:hanging="360"/>
      </w:pPr>
      <w:rPr>
        <w:rFonts w:ascii="Wingdings" w:hAnsi="Wingdings" w:hint="default"/>
      </w:rPr>
    </w:lvl>
    <w:lvl w:ilvl="6" w:tplc="08090001" w:tentative="1">
      <w:start w:val="1"/>
      <w:numFmt w:val="bullet"/>
      <w:lvlText w:val=""/>
      <w:lvlJc w:val="left"/>
      <w:pPr>
        <w:ind w:left="6190" w:hanging="360"/>
      </w:pPr>
      <w:rPr>
        <w:rFonts w:ascii="Symbol" w:hAnsi="Symbol" w:hint="default"/>
      </w:rPr>
    </w:lvl>
    <w:lvl w:ilvl="7" w:tplc="08090003" w:tentative="1">
      <w:start w:val="1"/>
      <w:numFmt w:val="bullet"/>
      <w:lvlText w:val="o"/>
      <w:lvlJc w:val="left"/>
      <w:pPr>
        <w:ind w:left="6910" w:hanging="360"/>
      </w:pPr>
      <w:rPr>
        <w:rFonts w:ascii="Courier New" w:hAnsi="Courier New" w:cs="Courier New" w:hint="default"/>
      </w:rPr>
    </w:lvl>
    <w:lvl w:ilvl="8" w:tplc="08090005" w:tentative="1">
      <w:start w:val="1"/>
      <w:numFmt w:val="bullet"/>
      <w:lvlText w:val=""/>
      <w:lvlJc w:val="left"/>
      <w:pPr>
        <w:ind w:left="7630" w:hanging="360"/>
      </w:pPr>
      <w:rPr>
        <w:rFonts w:ascii="Wingdings" w:hAnsi="Wingdings" w:hint="default"/>
      </w:rPr>
    </w:lvl>
  </w:abstractNum>
  <w:abstractNum w:abstractNumId="1" w15:restartNumberingAfterBreak="0">
    <w:nsid w:val="004D3EEB"/>
    <w:multiLevelType w:val="hybridMultilevel"/>
    <w:tmpl w:val="F852FEE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126100"/>
    <w:multiLevelType w:val="hybridMultilevel"/>
    <w:tmpl w:val="A838E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878FC"/>
    <w:multiLevelType w:val="hybridMultilevel"/>
    <w:tmpl w:val="7690E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EB486D"/>
    <w:multiLevelType w:val="hybridMultilevel"/>
    <w:tmpl w:val="7EDADCA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 w15:restartNumberingAfterBreak="0">
    <w:nsid w:val="165F5EE3"/>
    <w:multiLevelType w:val="hybridMultilevel"/>
    <w:tmpl w:val="32AC5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B50EE7"/>
    <w:multiLevelType w:val="hybridMultilevel"/>
    <w:tmpl w:val="D83294D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7" w15:restartNumberingAfterBreak="0">
    <w:nsid w:val="2CA903BD"/>
    <w:multiLevelType w:val="hybridMultilevel"/>
    <w:tmpl w:val="4A889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C5294B"/>
    <w:multiLevelType w:val="hybridMultilevel"/>
    <w:tmpl w:val="7066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93BFD"/>
    <w:multiLevelType w:val="hybridMultilevel"/>
    <w:tmpl w:val="7208013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41593577"/>
    <w:multiLevelType w:val="hybridMultilevel"/>
    <w:tmpl w:val="CCFA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C4533"/>
    <w:multiLevelType w:val="hybridMultilevel"/>
    <w:tmpl w:val="E98C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A75EE"/>
    <w:multiLevelType w:val="hybridMultilevel"/>
    <w:tmpl w:val="D66C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6F56B0"/>
    <w:multiLevelType w:val="hybridMultilevel"/>
    <w:tmpl w:val="C9E87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D1EDF"/>
    <w:multiLevelType w:val="hybridMultilevel"/>
    <w:tmpl w:val="A3E6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CA4133"/>
    <w:multiLevelType w:val="hybridMultilevel"/>
    <w:tmpl w:val="F14C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3540A1"/>
    <w:multiLevelType w:val="hybridMultilevel"/>
    <w:tmpl w:val="EEE6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179A0"/>
    <w:multiLevelType w:val="hybridMultilevel"/>
    <w:tmpl w:val="7FEE5812"/>
    <w:lvl w:ilvl="0" w:tplc="077A43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5F14A7"/>
    <w:multiLevelType w:val="hybridMultilevel"/>
    <w:tmpl w:val="990E2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1190E0A"/>
    <w:multiLevelType w:val="hybridMultilevel"/>
    <w:tmpl w:val="96A8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A315CE"/>
    <w:multiLevelType w:val="hybridMultilevel"/>
    <w:tmpl w:val="606E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F166FB"/>
    <w:multiLevelType w:val="hybridMultilevel"/>
    <w:tmpl w:val="E1E6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022E4B"/>
    <w:multiLevelType w:val="hybridMultilevel"/>
    <w:tmpl w:val="33E647DC"/>
    <w:lvl w:ilvl="0" w:tplc="08090003">
      <w:start w:val="1"/>
      <w:numFmt w:val="bullet"/>
      <w:lvlText w:val="o"/>
      <w:lvlJc w:val="left"/>
      <w:pPr>
        <w:ind w:left="1510" w:hanging="360"/>
      </w:pPr>
      <w:rPr>
        <w:rFonts w:ascii="Courier New" w:hAnsi="Courier New" w:cs="Courier New"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23" w15:restartNumberingAfterBreak="0">
    <w:nsid w:val="77F2494E"/>
    <w:multiLevelType w:val="hybridMultilevel"/>
    <w:tmpl w:val="F886E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0F0A6C"/>
    <w:multiLevelType w:val="hybridMultilevel"/>
    <w:tmpl w:val="F0D6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24749F"/>
    <w:multiLevelType w:val="hybridMultilevel"/>
    <w:tmpl w:val="B9BAA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35749563">
    <w:abstractNumId w:val="6"/>
  </w:num>
  <w:num w:numId="2" w16cid:durableId="1925451206">
    <w:abstractNumId w:val="25"/>
  </w:num>
  <w:num w:numId="3" w16cid:durableId="1637492219">
    <w:abstractNumId w:val="3"/>
  </w:num>
  <w:num w:numId="4" w16cid:durableId="1936084965">
    <w:abstractNumId w:val="5"/>
  </w:num>
  <w:num w:numId="5" w16cid:durableId="1976640512">
    <w:abstractNumId w:val="9"/>
  </w:num>
  <w:num w:numId="6" w16cid:durableId="1237519367">
    <w:abstractNumId w:val="8"/>
  </w:num>
  <w:num w:numId="7" w16cid:durableId="371736274">
    <w:abstractNumId w:val="10"/>
  </w:num>
  <w:num w:numId="8" w16cid:durableId="935284042">
    <w:abstractNumId w:val="16"/>
  </w:num>
  <w:num w:numId="9" w16cid:durableId="259605416">
    <w:abstractNumId w:val="15"/>
  </w:num>
  <w:num w:numId="10" w16cid:durableId="1629161513">
    <w:abstractNumId w:val="14"/>
  </w:num>
  <w:num w:numId="11" w16cid:durableId="1710496095">
    <w:abstractNumId w:val="2"/>
  </w:num>
  <w:num w:numId="12" w16cid:durableId="2016228405">
    <w:abstractNumId w:val="7"/>
  </w:num>
  <w:num w:numId="13" w16cid:durableId="237525173">
    <w:abstractNumId w:val="18"/>
  </w:num>
  <w:num w:numId="14" w16cid:durableId="144587692">
    <w:abstractNumId w:val="22"/>
  </w:num>
  <w:num w:numId="15" w16cid:durableId="470708551">
    <w:abstractNumId w:val="24"/>
  </w:num>
  <w:num w:numId="16" w16cid:durableId="1469082107">
    <w:abstractNumId w:val="0"/>
  </w:num>
  <w:num w:numId="17" w16cid:durableId="811287020">
    <w:abstractNumId w:val="11"/>
  </w:num>
  <w:num w:numId="18" w16cid:durableId="2038194425">
    <w:abstractNumId w:val="21"/>
  </w:num>
  <w:num w:numId="19" w16cid:durableId="1352612486">
    <w:abstractNumId w:val="23"/>
  </w:num>
  <w:num w:numId="20" w16cid:durableId="1650359132">
    <w:abstractNumId w:val="12"/>
  </w:num>
  <w:num w:numId="21" w16cid:durableId="751505682">
    <w:abstractNumId w:val="17"/>
  </w:num>
  <w:num w:numId="22" w16cid:durableId="2111462272">
    <w:abstractNumId w:val="4"/>
  </w:num>
  <w:num w:numId="23" w16cid:durableId="980620835">
    <w:abstractNumId w:val="1"/>
  </w:num>
  <w:num w:numId="24" w16cid:durableId="1052652201">
    <w:abstractNumId w:val="13"/>
  </w:num>
  <w:num w:numId="25" w16cid:durableId="1695496585">
    <w:abstractNumId w:val="20"/>
  </w:num>
  <w:num w:numId="26" w16cid:durableId="14958023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93E"/>
    <w:rsid w:val="000058B7"/>
    <w:rsid w:val="00051257"/>
    <w:rsid w:val="00083F3A"/>
    <w:rsid w:val="00084E3E"/>
    <w:rsid w:val="000A1B83"/>
    <w:rsid w:val="000A5D98"/>
    <w:rsid w:val="000E070A"/>
    <w:rsid w:val="000F6FE6"/>
    <w:rsid w:val="00106E22"/>
    <w:rsid w:val="00106F32"/>
    <w:rsid w:val="00117B2C"/>
    <w:rsid w:val="00130268"/>
    <w:rsid w:val="00142873"/>
    <w:rsid w:val="0018282F"/>
    <w:rsid w:val="001B66A2"/>
    <w:rsid w:val="001D4ACD"/>
    <w:rsid w:val="001E1099"/>
    <w:rsid w:val="00200B07"/>
    <w:rsid w:val="002078C7"/>
    <w:rsid w:val="00210338"/>
    <w:rsid w:val="00243CD0"/>
    <w:rsid w:val="00260EC3"/>
    <w:rsid w:val="00283794"/>
    <w:rsid w:val="002845A9"/>
    <w:rsid w:val="0028460E"/>
    <w:rsid w:val="002B1C11"/>
    <w:rsid w:val="002C5D54"/>
    <w:rsid w:val="002D7D50"/>
    <w:rsid w:val="002E144E"/>
    <w:rsid w:val="002F27B5"/>
    <w:rsid w:val="0030745A"/>
    <w:rsid w:val="00356730"/>
    <w:rsid w:val="00361890"/>
    <w:rsid w:val="003704C3"/>
    <w:rsid w:val="0038166B"/>
    <w:rsid w:val="00384696"/>
    <w:rsid w:val="003A78B5"/>
    <w:rsid w:val="003B2EEE"/>
    <w:rsid w:val="00407BEE"/>
    <w:rsid w:val="00411BFD"/>
    <w:rsid w:val="00432C1B"/>
    <w:rsid w:val="004B2B46"/>
    <w:rsid w:val="004D02C1"/>
    <w:rsid w:val="004D4054"/>
    <w:rsid w:val="004F5FBB"/>
    <w:rsid w:val="005642CA"/>
    <w:rsid w:val="00566FB8"/>
    <w:rsid w:val="00584EEC"/>
    <w:rsid w:val="005878FB"/>
    <w:rsid w:val="005A6A18"/>
    <w:rsid w:val="005A7E6C"/>
    <w:rsid w:val="005B31A3"/>
    <w:rsid w:val="005B41A5"/>
    <w:rsid w:val="005D0643"/>
    <w:rsid w:val="005D3F12"/>
    <w:rsid w:val="005E6D8A"/>
    <w:rsid w:val="00600605"/>
    <w:rsid w:val="006012ED"/>
    <w:rsid w:val="006036C2"/>
    <w:rsid w:val="0061123F"/>
    <w:rsid w:val="00622577"/>
    <w:rsid w:val="00645467"/>
    <w:rsid w:val="00656B28"/>
    <w:rsid w:val="00657371"/>
    <w:rsid w:val="006603AC"/>
    <w:rsid w:val="00660E0C"/>
    <w:rsid w:val="006727A6"/>
    <w:rsid w:val="0069498D"/>
    <w:rsid w:val="00697A8F"/>
    <w:rsid w:val="006A06CB"/>
    <w:rsid w:val="006C54AF"/>
    <w:rsid w:val="006D7350"/>
    <w:rsid w:val="006E39AF"/>
    <w:rsid w:val="006F2CA3"/>
    <w:rsid w:val="006F5DE8"/>
    <w:rsid w:val="006F6A78"/>
    <w:rsid w:val="006F7A3D"/>
    <w:rsid w:val="007661D8"/>
    <w:rsid w:val="00767791"/>
    <w:rsid w:val="007857F5"/>
    <w:rsid w:val="007948BD"/>
    <w:rsid w:val="00794F20"/>
    <w:rsid w:val="007A4B06"/>
    <w:rsid w:val="007B5804"/>
    <w:rsid w:val="007C6437"/>
    <w:rsid w:val="007C69B5"/>
    <w:rsid w:val="007E08EE"/>
    <w:rsid w:val="007F1415"/>
    <w:rsid w:val="00845E0F"/>
    <w:rsid w:val="008B0854"/>
    <w:rsid w:val="008C2338"/>
    <w:rsid w:val="008D2716"/>
    <w:rsid w:val="008E3AE5"/>
    <w:rsid w:val="00902E96"/>
    <w:rsid w:val="00916BDF"/>
    <w:rsid w:val="00932DED"/>
    <w:rsid w:val="009432BA"/>
    <w:rsid w:val="00965B64"/>
    <w:rsid w:val="00965FA0"/>
    <w:rsid w:val="0097077B"/>
    <w:rsid w:val="009941E5"/>
    <w:rsid w:val="009B3037"/>
    <w:rsid w:val="009D52B5"/>
    <w:rsid w:val="009E5A30"/>
    <w:rsid w:val="00A25649"/>
    <w:rsid w:val="00A313E7"/>
    <w:rsid w:val="00A61304"/>
    <w:rsid w:val="00A949F9"/>
    <w:rsid w:val="00AA2695"/>
    <w:rsid w:val="00AD29FC"/>
    <w:rsid w:val="00AE4748"/>
    <w:rsid w:val="00B36999"/>
    <w:rsid w:val="00B5752D"/>
    <w:rsid w:val="00B5799A"/>
    <w:rsid w:val="00B600CB"/>
    <w:rsid w:val="00B8263C"/>
    <w:rsid w:val="00C03364"/>
    <w:rsid w:val="00C23A95"/>
    <w:rsid w:val="00C3407B"/>
    <w:rsid w:val="00C43685"/>
    <w:rsid w:val="00C53115"/>
    <w:rsid w:val="00C77E46"/>
    <w:rsid w:val="00C87FBB"/>
    <w:rsid w:val="00CA23ED"/>
    <w:rsid w:val="00CD29D2"/>
    <w:rsid w:val="00CF1094"/>
    <w:rsid w:val="00D00BB6"/>
    <w:rsid w:val="00D13465"/>
    <w:rsid w:val="00D718FC"/>
    <w:rsid w:val="00D72467"/>
    <w:rsid w:val="00D76F6A"/>
    <w:rsid w:val="00D84572"/>
    <w:rsid w:val="00D8580C"/>
    <w:rsid w:val="00DB662F"/>
    <w:rsid w:val="00DC1F5C"/>
    <w:rsid w:val="00DC4DAF"/>
    <w:rsid w:val="00DC5E8A"/>
    <w:rsid w:val="00DE7361"/>
    <w:rsid w:val="00E134B4"/>
    <w:rsid w:val="00E273E9"/>
    <w:rsid w:val="00E324CF"/>
    <w:rsid w:val="00E334F9"/>
    <w:rsid w:val="00E366A8"/>
    <w:rsid w:val="00E66362"/>
    <w:rsid w:val="00E705C7"/>
    <w:rsid w:val="00E7593E"/>
    <w:rsid w:val="00EB35A4"/>
    <w:rsid w:val="00F116AB"/>
    <w:rsid w:val="00F1673C"/>
    <w:rsid w:val="00F27BEC"/>
    <w:rsid w:val="00F97F28"/>
    <w:rsid w:val="00FA2C23"/>
    <w:rsid w:val="00FA53EC"/>
    <w:rsid w:val="00FB4A3E"/>
    <w:rsid w:val="00FD5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EC94B"/>
  <w14:defaultImageDpi w14:val="32767"/>
  <w15:chartTrackingRefBased/>
  <w15:docId w15:val="{552EEDC9-E801-3242-A324-A3100A0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93E"/>
    <w:pPr>
      <w:tabs>
        <w:tab w:val="center" w:pos="4513"/>
        <w:tab w:val="right" w:pos="9026"/>
      </w:tabs>
    </w:pPr>
  </w:style>
  <w:style w:type="character" w:customStyle="1" w:styleId="HeaderChar">
    <w:name w:val="Header Char"/>
    <w:basedOn w:val="DefaultParagraphFont"/>
    <w:link w:val="Header"/>
    <w:uiPriority w:val="99"/>
    <w:rsid w:val="00E7593E"/>
  </w:style>
  <w:style w:type="paragraph" w:styleId="Footer">
    <w:name w:val="footer"/>
    <w:basedOn w:val="Normal"/>
    <w:link w:val="FooterChar"/>
    <w:uiPriority w:val="99"/>
    <w:unhideWhenUsed/>
    <w:rsid w:val="00E7593E"/>
    <w:pPr>
      <w:tabs>
        <w:tab w:val="center" w:pos="4513"/>
        <w:tab w:val="right" w:pos="9026"/>
      </w:tabs>
    </w:pPr>
  </w:style>
  <w:style w:type="character" w:customStyle="1" w:styleId="FooterChar">
    <w:name w:val="Footer Char"/>
    <w:basedOn w:val="DefaultParagraphFont"/>
    <w:link w:val="Footer"/>
    <w:uiPriority w:val="99"/>
    <w:rsid w:val="00E7593E"/>
  </w:style>
  <w:style w:type="character" w:styleId="Hyperlink">
    <w:name w:val="Hyperlink"/>
    <w:basedOn w:val="DefaultParagraphFont"/>
    <w:uiPriority w:val="99"/>
    <w:unhideWhenUsed/>
    <w:rsid w:val="00AA2695"/>
    <w:rPr>
      <w:color w:val="0000FF"/>
      <w:u w:val="single"/>
    </w:rPr>
  </w:style>
  <w:style w:type="paragraph" w:styleId="ListParagraph">
    <w:name w:val="List Paragraph"/>
    <w:basedOn w:val="Normal"/>
    <w:uiPriority w:val="34"/>
    <w:qFormat/>
    <w:rsid w:val="00AA2695"/>
    <w:pPr>
      <w:spacing w:after="200" w:line="276" w:lineRule="auto"/>
      <w:ind w:left="720"/>
      <w:contextualSpacing/>
    </w:pPr>
    <w:rPr>
      <w:sz w:val="22"/>
      <w:szCs w:val="22"/>
    </w:rPr>
  </w:style>
  <w:style w:type="table" w:styleId="GridTable4-Accent1">
    <w:name w:val="Grid Table 4 Accent 1"/>
    <w:basedOn w:val="TableNormal"/>
    <w:uiPriority w:val="49"/>
    <w:rsid w:val="00965B64"/>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965B64"/>
    <w:rPr>
      <w:color w:val="605E5C"/>
      <w:shd w:val="clear" w:color="auto" w:fill="E1DFDD"/>
    </w:rPr>
  </w:style>
  <w:style w:type="table" w:styleId="TableGrid">
    <w:name w:val="Table Grid"/>
    <w:basedOn w:val="TableNormal"/>
    <w:uiPriority w:val="39"/>
    <w:rsid w:val="00965B6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34B4"/>
  </w:style>
  <w:style w:type="character" w:styleId="CommentReference">
    <w:name w:val="annotation reference"/>
    <w:basedOn w:val="DefaultParagraphFont"/>
    <w:uiPriority w:val="99"/>
    <w:semiHidden/>
    <w:unhideWhenUsed/>
    <w:rsid w:val="005878FB"/>
    <w:rPr>
      <w:sz w:val="16"/>
      <w:szCs w:val="16"/>
    </w:rPr>
  </w:style>
  <w:style w:type="paragraph" w:styleId="CommentText">
    <w:name w:val="annotation text"/>
    <w:basedOn w:val="Normal"/>
    <w:link w:val="CommentTextChar"/>
    <w:uiPriority w:val="99"/>
    <w:unhideWhenUsed/>
    <w:rsid w:val="005878FB"/>
    <w:rPr>
      <w:sz w:val="20"/>
      <w:szCs w:val="20"/>
    </w:rPr>
  </w:style>
  <w:style w:type="character" w:customStyle="1" w:styleId="CommentTextChar">
    <w:name w:val="Comment Text Char"/>
    <w:basedOn w:val="DefaultParagraphFont"/>
    <w:link w:val="CommentText"/>
    <w:uiPriority w:val="99"/>
    <w:rsid w:val="005878FB"/>
    <w:rPr>
      <w:sz w:val="20"/>
      <w:szCs w:val="20"/>
    </w:rPr>
  </w:style>
  <w:style w:type="paragraph" w:styleId="CommentSubject">
    <w:name w:val="annotation subject"/>
    <w:basedOn w:val="CommentText"/>
    <w:next w:val="CommentText"/>
    <w:link w:val="CommentSubjectChar"/>
    <w:uiPriority w:val="99"/>
    <w:semiHidden/>
    <w:unhideWhenUsed/>
    <w:rsid w:val="005878FB"/>
    <w:rPr>
      <w:b/>
      <w:bCs/>
    </w:rPr>
  </w:style>
  <w:style w:type="character" w:customStyle="1" w:styleId="CommentSubjectChar">
    <w:name w:val="Comment Subject Char"/>
    <w:basedOn w:val="CommentTextChar"/>
    <w:link w:val="CommentSubject"/>
    <w:uiPriority w:val="99"/>
    <w:semiHidden/>
    <w:rsid w:val="005878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209463">
      <w:bodyDiv w:val="1"/>
      <w:marLeft w:val="0"/>
      <w:marRight w:val="0"/>
      <w:marTop w:val="0"/>
      <w:marBottom w:val="0"/>
      <w:divBdr>
        <w:top w:val="none" w:sz="0" w:space="0" w:color="auto"/>
        <w:left w:val="none" w:sz="0" w:space="0" w:color="auto"/>
        <w:bottom w:val="none" w:sz="0" w:space="0" w:color="auto"/>
        <w:right w:val="none" w:sz="0" w:space="0" w:color="auto"/>
      </w:divBdr>
    </w:div>
    <w:div w:id="126553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cp.247111@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87BC0-8DA9-4C25-9DFA-B082A42D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alex@sowden-sowden.co.uk</dc:creator>
  <cp:keywords/>
  <dc:description/>
  <cp:lastModifiedBy>LYONS, Debbie (CITY HEALTH CARE PARTNERSHIP CIC)</cp:lastModifiedBy>
  <cp:revision>3</cp:revision>
  <cp:lastPrinted>2018-04-05T09:08:00Z</cp:lastPrinted>
  <dcterms:created xsi:type="dcterms:W3CDTF">2024-12-05T08:31:00Z</dcterms:created>
  <dcterms:modified xsi:type="dcterms:W3CDTF">2024-12-05T08:42:00Z</dcterms:modified>
</cp:coreProperties>
</file>