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F4D7" w14:textId="3C5EC934" w:rsidR="00EC7BEA" w:rsidRPr="00402368" w:rsidRDefault="005F4E82" w:rsidP="00316E2C">
      <w:pPr>
        <w:rPr>
          <w:noProof/>
        </w:rPr>
      </w:pPr>
      <w:r w:rsidRPr="00A21D3C">
        <w:rPr>
          <w:noProof/>
        </w:rPr>
        <w:drawing>
          <wp:anchor distT="0" distB="0" distL="114300" distR="114300" simplePos="0" relativeHeight="251658241" behindDoc="0" locked="0" layoutInCell="1" allowOverlap="1" wp14:anchorId="31472B6A" wp14:editId="6BC7371C">
            <wp:simplePos x="0" y="0"/>
            <wp:positionH relativeFrom="margin">
              <wp:align>left</wp:align>
            </wp:positionH>
            <wp:positionV relativeFrom="margin">
              <wp:posOffset>-481965</wp:posOffset>
            </wp:positionV>
            <wp:extent cx="3324225" cy="692150"/>
            <wp:effectExtent l="0" t="0" r="9525" b="0"/>
            <wp:wrapSquare wrapText="bothSides"/>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4225" cy="69215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7F05DE8B" wp14:editId="34185882">
            <wp:simplePos x="0" y="0"/>
            <wp:positionH relativeFrom="margin">
              <wp:posOffset>4925060</wp:posOffset>
            </wp:positionH>
            <wp:positionV relativeFrom="margin">
              <wp:posOffset>-508000</wp:posOffset>
            </wp:positionV>
            <wp:extent cx="1905000"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028700"/>
                    </a:xfrm>
                    <a:prstGeom prst="rect">
                      <a:avLst/>
                    </a:prstGeom>
                    <a:noFill/>
                  </pic:spPr>
                </pic:pic>
              </a:graphicData>
            </a:graphic>
          </wp:anchor>
        </w:drawing>
      </w:r>
    </w:p>
    <w:p w14:paraId="7AA4A8D4" w14:textId="24C2E8E5" w:rsidR="00EC7BEA" w:rsidRPr="00402368" w:rsidRDefault="00EC7BEA" w:rsidP="00316E2C">
      <w:pPr>
        <w:rPr>
          <w:b/>
        </w:rPr>
      </w:pPr>
    </w:p>
    <w:p w14:paraId="19EDCD38" w14:textId="5C12FFA6" w:rsidR="004D7F55" w:rsidRPr="00402368" w:rsidRDefault="004D7F55" w:rsidP="00316E2C">
      <w:pPr>
        <w:rPr>
          <w:b/>
        </w:rPr>
      </w:pPr>
    </w:p>
    <w:p w14:paraId="52E6AF17" w14:textId="118BD45E" w:rsidR="004D7F55" w:rsidRPr="00402368" w:rsidRDefault="004D7F55" w:rsidP="00316E2C">
      <w:pPr>
        <w:rPr>
          <w:b/>
        </w:rPr>
      </w:pPr>
    </w:p>
    <w:p w14:paraId="76D7E5B6" w14:textId="77777777" w:rsidR="004D7F55" w:rsidRPr="00402368" w:rsidRDefault="004D7F55" w:rsidP="00316E2C">
      <w:pPr>
        <w:rPr>
          <w:b/>
        </w:rPr>
      </w:pPr>
    </w:p>
    <w:p w14:paraId="5F8E3F83" w14:textId="77777777" w:rsidR="00AE286E" w:rsidRDefault="00AE286E" w:rsidP="00316E2C">
      <w:pPr>
        <w:jc w:val="center"/>
        <w:rPr>
          <w:b/>
          <w:bCs/>
          <w:color w:val="auto"/>
          <w:sz w:val="48"/>
          <w:szCs w:val="48"/>
        </w:rPr>
      </w:pPr>
    </w:p>
    <w:p w14:paraId="6F275B5B" w14:textId="2B28B301" w:rsidR="009605B9" w:rsidRDefault="00BE4A61" w:rsidP="00316E2C">
      <w:pPr>
        <w:jc w:val="center"/>
        <w:rPr>
          <w:b/>
          <w:bCs/>
          <w:color w:val="auto"/>
          <w:sz w:val="48"/>
          <w:szCs w:val="48"/>
        </w:rPr>
      </w:pPr>
      <w:r w:rsidRPr="567E9B9C">
        <w:rPr>
          <w:b/>
          <w:bCs/>
          <w:color w:val="auto"/>
          <w:sz w:val="48"/>
          <w:szCs w:val="48"/>
        </w:rPr>
        <w:t>Individual Funding Request</w:t>
      </w:r>
      <w:r w:rsidR="00C724BE" w:rsidRPr="567E9B9C">
        <w:rPr>
          <w:b/>
          <w:bCs/>
          <w:color w:val="auto"/>
          <w:sz w:val="48"/>
          <w:szCs w:val="48"/>
        </w:rPr>
        <w:t xml:space="preserve"> </w:t>
      </w:r>
      <w:r w:rsidR="009A3F2B" w:rsidRPr="567E9B9C">
        <w:rPr>
          <w:b/>
          <w:bCs/>
          <w:color w:val="auto"/>
          <w:sz w:val="48"/>
          <w:szCs w:val="48"/>
        </w:rPr>
        <w:t xml:space="preserve">Policy </w:t>
      </w:r>
    </w:p>
    <w:p w14:paraId="70D05FB0" w14:textId="62124280" w:rsidR="06CC59AE" w:rsidRDefault="06CC59AE" w:rsidP="567E9B9C">
      <w:pPr>
        <w:jc w:val="center"/>
      </w:pPr>
      <w:r w:rsidRPr="567E9B9C">
        <w:rPr>
          <w:b/>
          <w:bCs/>
          <w:color w:val="auto"/>
          <w:sz w:val="36"/>
          <w:szCs w:val="36"/>
        </w:rPr>
        <w:t>February 2026</w:t>
      </w:r>
    </w:p>
    <w:p w14:paraId="392C0B4E" w14:textId="604BEBA8" w:rsidR="004D7F55" w:rsidRPr="005F4E82" w:rsidRDefault="004D7F55" w:rsidP="00316E2C">
      <w:pPr>
        <w:jc w:val="center"/>
        <w:rPr>
          <w:b/>
          <w:bCs/>
          <w:color w:val="FF0000"/>
        </w:rPr>
      </w:pPr>
    </w:p>
    <w:p w14:paraId="26E34E15" w14:textId="79374D86" w:rsidR="005F4E82" w:rsidRDefault="005F4E82" w:rsidP="005F4E82">
      <w:pPr>
        <w:spacing w:line="240" w:lineRule="auto"/>
        <w:jc w:val="center"/>
        <w:rPr>
          <w:color w:val="FF0000"/>
        </w:rPr>
      </w:pPr>
    </w:p>
    <w:p w14:paraId="35D6C1E1" w14:textId="762B8BED" w:rsidR="009605B9" w:rsidRPr="00402368" w:rsidRDefault="009605B9" w:rsidP="00316E2C"/>
    <w:tbl>
      <w:tblPr>
        <w:tblStyle w:val="TableGrid"/>
        <w:tblpPr w:leftFromText="180" w:rightFromText="180" w:vertAnchor="text" w:tblpX="75" w:tblpY="1"/>
        <w:tblOverlap w:val="never"/>
        <w:tblW w:w="10607" w:type="dxa"/>
        <w:tblLook w:val="04A0" w:firstRow="1" w:lastRow="0" w:firstColumn="1" w:lastColumn="0" w:noHBand="0" w:noVBand="1"/>
      </w:tblPr>
      <w:tblGrid>
        <w:gridCol w:w="4644"/>
        <w:gridCol w:w="5963"/>
      </w:tblGrid>
      <w:tr w:rsidR="003057AE" w:rsidRPr="00402368" w14:paraId="47EBEA0C" w14:textId="77777777" w:rsidTr="5D74A31E">
        <w:tc>
          <w:tcPr>
            <w:tcW w:w="4644" w:type="dxa"/>
          </w:tcPr>
          <w:p w14:paraId="0AD8B207" w14:textId="2EB3C3D5" w:rsidR="003057AE" w:rsidRPr="00402368" w:rsidRDefault="003057AE" w:rsidP="00316E2C">
            <w:pPr>
              <w:rPr>
                <w:b/>
                <w:color w:val="auto"/>
              </w:rPr>
            </w:pPr>
            <w:r w:rsidRPr="00402368">
              <w:rPr>
                <w:b/>
                <w:color w:val="auto"/>
              </w:rPr>
              <w:t>Authorship</w:t>
            </w:r>
            <w:r w:rsidR="005F4E82">
              <w:rPr>
                <w:b/>
                <w:color w:val="auto"/>
              </w:rPr>
              <w:t>:</w:t>
            </w:r>
          </w:p>
        </w:tc>
        <w:tc>
          <w:tcPr>
            <w:tcW w:w="5963" w:type="dxa"/>
          </w:tcPr>
          <w:p w14:paraId="36326F7D" w14:textId="26B7308F" w:rsidR="0095282C" w:rsidRPr="005F4E82" w:rsidRDefault="00255F2F" w:rsidP="00316E2C">
            <w:pPr>
              <w:rPr>
                <w:color w:val="auto"/>
              </w:rPr>
            </w:pPr>
            <w:r>
              <w:rPr>
                <w:color w:val="auto"/>
              </w:rPr>
              <w:t xml:space="preserve">Becky Black </w:t>
            </w:r>
          </w:p>
        </w:tc>
      </w:tr>
      <w:tr w:rsidR="003057AE" w:rsidRPr="00402368" w14:paraId="472249B7" w14:textId="77777777" w:rsidTr="5D74A31E">
        <w:tc>
          <w:tcPr>
            <w:tcW w:w="4644" w:type="dxa"/>
          </w:tcPr>
          <w:p w14:paraId="407EADD1" w14:textId="0DA4D42F" w:rsidR="003057AE" w:rsidRPr="00402368" w:rsidRDefault="005F4E82" w:rsidP="00316E2C">
            <w:pPr>
              <w:rPr>
                <w:b/>
                <w:color w:val="auto"/>
              </w:rPr>
            </w:pPr>
            <w:r>
              <w:rPr>
                <w:b/>
                <w:color w:val="auto"/>
              </w:rPr>
              <w:t xml:space="preserve">Committee </w:t>
            </w:r>
            <w:r w:rsidR="003057AE" w:rsidRPr="00402368">
              <w:rPr>
                <w:b/>
                <w:color w:val="auto"/>
              </w:rPr>
              <w:t>Approved</w:t>
            </w:r>
            <w:r>
              <w:rPr>
                <w:b/>
                <w:color w:val="auto"/>
              </w:rPr>
              <w:t>:</w:t>
            </w:r>
          </w:p>
        </w:tc>
        <w:tc>
          <w:tcPr>
            <w:tcW w:w="5963" w:type="dxa"/>
          </w:tcPr>
          <w:p w14:paraId="56DF1480" w14:textId="28414812" w:rsidR="0095282C" w:rsidRPr="005F4E82" w:rsidRDefault="003403EE" w:rsidP="00A10CE8">
            <w:pPr>
              <w:rPr>
                <w:color w:val="auto"/>
              </w:rPr>
            </w:pPr>
            <w:r>
              <w:rPr>
                <w:color w:val="auto"/>
              </w:rPr>
              <w:t xml:space="preserve">Quality Committee </w:t>
            </w:r>
          </w:p>
        </w:tc>
      </w:tr>
      <w:tr w:rsidR="003057AE" w:rsidRPr="00402368" w14:paraId="11C2BA35" w14:textId="77777777" w:rsidTr="5D74A31E">
        <w:tc>
          <w:tcPr>
            <w:tcW w:w="4644" w:type="dxa"/>
          </w:tcPr>
          <w:p w14:paraId="0972DBCF" w14:textId="2F14241B" w:rsidR="003057AE" w:rsidRPr="00402368" w:rsidRDefault="005F4E82" w:rsidP="00316E2C">
            <w:pPr>
              <w:rPr>
                <w:b/>
                <w:color w:val="auto"/>
              </w:rPr>
            </w:pPr>
            <w:r>
              <w:rPr>
                <w:b/>
                <w:color w:val="auto"/>
              </w:rPr>
              <w:t>Approved d</w:t>
            </w:r>
            <w:r w:rsidR="003057AE" w:rsidRPr="00402368">
              <w:rPr>
                <w:b/>
                <w:color w:val="auto"/>
              </w:rPr>
              <w:t>ate</w:t>
            </w:r>
            <w:r>
              <w:rPr>
                <w:b/>
                <w:color w:val="auto"/>
              </w:rPr>
              <w:t>:</w:t>
            </w:r>
          </w:p>
        </w:tc>
        <w:tc>
          <w:tcPr>
            <w:tcW w:w="5963" w:type="dxa"/>
          </w:tcPr>
          <w:p w14:paraId="16673E03" w14:textId="6257C0F2" w:rsidR="0095282C" w:rsidRPr="005F4E82" w:rsidRDefault="00236C19" w:rsidP="50B42B01">
            <w:r w:rsidRPr="00236C19">
              <w:rPr>
                <w:color w:val="000000" w:themeColor="text1"/>
              </w:rPr>
              <w:t>26</w:t>
            </w:r>
            <w:r w:rsidRPr="00236C19">
              <w:rPr>
                <w:color w:val="000000" w:themeColor="text1"/>
                <w:vertAlign w:val="superscript"/>
              </w:rPr>
              <w:t>th</w:t>
            </w:r>
            <w:r w:rsidRPr="00236C19">
              <w:rPr>
                <w:color w:val="000000" w:themeColor="text1"/>
              </w:rPr>
              <w:t xml:space="preserve"> February 2026</w:t>
            </w:r>
          </w:p>
        </w:tc>
      </w:tr>
      <w:tr w:rsidR="003057AE" w:rsidRPr="00402368" w14:paraId="0BEBC797" w14:textId="77777777" w:rsidTr="5D74A31E">
        <w:tc>
          <w:tcPr>
            <w:tcW w:w="4644" w:type="dxa"/>
          </w:tcPr>
          <w:p w14:paraId="31076981" w14:textId="171C15B3" w:rsidR="003057AE" w:rsidRPr="005F4E82" w:rsidRDefault="003057AE" w:rsidP="00316E2C">
            <w:pPr>
              <w:rPr>
                <w:b/>
                <w:color w:val="auto"/>
              </w:rPr>
            </w:pPr>
            <w:r w:rsidRPr="005F4E82">
              <w:rPr>
                <w:b/>
                <w:color w:val="auto"/>
              </w:rPr>
              <w:t>Target Audience</w:t>
            </w:r>
            <w:r w:rsidR="005F4E82" w:rsidRPr="005F4E82">
              <w:rPr>
                <w:b/>
                <w:color w:val="auto"/>
              </w:rPr>
              <w:t>:</w:t>
            </w:r>
          </w:p>
        </w:tc>
        <w:tc>
          <w:tcPr>
            <w:tcW w:w="5963" w:type="dxa"/>
          </w:tcPr>
          <w:p w14:paraId="046759C7" w14:textId="70C4BB1A" w:rsidR="00BB1833" w:rsidRPr="005F4E82" w:rsidRDefault="003403EE" w:rsidP="00EC13F0">
            <w:pPr>
              <w:pStyle w:val="ListParagraph"/>
              <w:spacing w:line="240" w:lineRule="auto"/>
              <w:ind w:left="0"/>
              <w:rPr>
                <w:color w:val="auto"/>
              </w:rPr>
            </w:pPr>
            <w:r>
              <w:rPr>
                <w:color w:val="auto"/>
              </w:rPr>
              <w:t xml:space="preserve">Public and Providers </w:t>
            </w:r>
          </w:p>
        </w:tc>
      </w:tr>
      <w:tr w:rsidR="003057AE" w:rsidRPr="00402368" w14:paraId="14C1359E" w14:textId="77777777" w:rsidTr="5D74A31E">
        <w:tc>
          <w:tcPr>
            <w:tcW w:w="4644" w:type="dxa"/>
          </w:tcPr>
          <w:p w14:paraId="6F54AA58" w14:textId="2B79372A" w:rsidR="003057AE" w:rsidRPr="005F4E82" w:rsidRDefault="005F4E82" w:rsidP="00316E2C">
            <w:pPr>
              <w:rPr>
                <w:b/>
                <w:color w:val="auto"/>
              </w:rPr>
            </w:pPr>
            <w:r w:rsidRPr="005F4E82">
              <w:rPr>
                <w:b/>
                <w:color w:val="auto"/>
              </w:rPr>
              <w:t xml:space="preserve">Policy </w:t>
            </w:r>
            <w:r w:rsidR="003057AE" w:rsidRPr="005F4E82">
              <w:rPr>
                <w:b/>
                <w:color w:val="auto"/>
              </w:rPr>
              <w:t>Number</w:t>
            </w:r>
            <w:r w:rsidRPr="005F4E82">
              <w:rPr>
                <w:b/>
                <w:color w:val="auto"/>
              </w:rPr>
              <w:t>:</w:t>
            </w:r>
          </w:p>
        </w:tc>
        <w:tc>
          <w:tcPr>
            <w:tcW w:w="5963" w:type="dxa"/>
          </w:tcPr>
          <w:p w14:paraId="1E17DE8B" w14:textId="1736177B" w:rsidR="004167BD" w:rsidRPr="005F4E82" w:rsidRDefault="00E47610" w:rsidP="00316E2C">
            <w:pPr>
              <w:rPr>
                <w:color w:val="auto"/>
              </w:rPr>
            </w:pPr>
            <w:r>
              <w:rPr>
                <w:color w:val="auto"/>
              </w:rPr>
              <w:t>TBC</w:t>
            </w:r>
          </w:p>
        </w:tc>
      </w:tr>
      <w:tr w:rsidR="003057AE" w:rsidRPr="00402368" w14:paraId="0A809E26" w14:textId="77777777" w:rsidTr="5D74A31E">
        <w:tc>
          <w:tcPr>
            <w:tcW w:w="4644" w:type="dxa"/>
          </w:tcPr>
          <w:p w14:paraId="5332ADF0" w14:textId="64461681" w:rsidR="003057AE" w:rsidRPr="005F4E82" w:rsidRDefault="003057AE" w:rsidP="00316E2C">
            <w:pPr>
              <w:rPr>
                <w:b/>
                <w:color w:val="auto"/>
              </w:rPr>
            </w:pPr>
            <w:r w:rsidRPr="005F4E82">
              <w:rPr>
                <w:b/>
                <w:color w:val="auto"/>
              </w:rPr>
              <w:t>Version Number</w:t>
            </w:r>
            <w:r w:rsidR="005F4E82" w:rsidRPr="005F4E82">
              <w:rPr>
                <w:b/>
                <w:color w:val="auto"/>
              </w:rPr>
              <w:t>:</w:t>
            </w:r>
          </w:p>
        </w:tc>
        <w:tc>
          <w:tcPr>
            <w:tcW w:w="5963" w:type="dxa"/>
          </w:tcPr>
          <w:p w14:paraId="5A47AB39" w14:textId="7DB61708" w:rsidR="004167BD" w:rsidRPr="005F4E82" w:rsidRDefault="3336A562" w:rsidP="00316E2C">
            <w:pPr>
              <w:rPr>
                <w:color w:val="auto"/>
              </w:rPr>
            </w:pPr>
            <w:r w:rsidRPr="5D74A31E">
              <w:rPr>
                <w:color w:val="auto"/>
              </w:rPr>
              <w:t>5</w:t>
            </w:r>
            <w:r w:rsidR="00D35F1F" w:rsidRPr="5D74A31E">
              <w:rPr>
                <w:color w:val="auto"/>
              </w:rPr>
              <w:t>.0</w:t>
            </w:r>
          </w:p>
        </w:tc>
      </w:tr>
    </w:tbl>
    <w:p w14:paraId="42F308FB" w14:textId="18850BF4" w:rsidR="006D5E9C" w:rsidRPr="00402368" w:rsidRDefault="00402368" w:rsidP="005F4E82">
      <w:pPr>
        <w:autoSpaceDE w:val="0"/>
        <w:autoSpaceDN w:val="0"/>
        <w:adjustRightInd w:val="0"/>
        <w:spacing w:line="240" w:lineRule="auto"/>
        <w:rPr>
          <w:b/>
          <w:color w:val="auto"/>
        </w:rPr>
      </w:pPr>
      <w:r>
        <w:rPr>
          <w:b/>
          <w:color w:val="auto"/>
        </w:rPr>
        <w:br w:type="textWrapping" w:clear="all"/>
      </w:r>
      <w:r w:rsidR="00B05DC7" w:rsidRPr="00402368">
        <w:rPr>
          <w:b/>
          <w:color w:val="auto"/>
        </w:rPr>
        <w:t>T</w:t>
      </w:r>
      <w:r w:rsidR="006D5E9C" w:rsidRPr="00402368">
        <w:rPr>
          <w:b/>
          <w:color w:val="auto"/>
        </w:rPr>
        <w:t xml:space="preserve">he </w:t>
      </w:r>
      <w:r w:rsidR="00EC7BEA" w:rsidRPr="00402368">
        <w:rPr>
          <w:b/>
          <w:color w:val="auto"/>
        </w:rPr>
        <w:t>on-line</w:t>
      </w:r>
      <w:r w:rsidR="006D5E9C" w:rsidRPr="00402368">
        <w:rPr>
          <w:b/>
          <w:color w:val="auto"/>
        </w:rPr>
        <w:t xml:space="preserve"> version is the only version that is maintained.  Any printed copies should, therefore, be viewed as ‘uncontrolled’ and as such may not necessarily contain the latest updates and amendments.</w:t>
      </w:r>
    </w:p>
    <w:p w14:paraId="00AC6553" w14:textId="77777777" w:rsidR="00A102B7" w:rsidRPr="00402368" w:rsidRDefault="00A102B7" w:rsidP="00316E2C">
      <w:pPr>
        <w:rPr>
          <w:b/>
          <w:bCs/>
          <w:color w:val="auto"/>
          <w:sz w:val="28"/>
          <w:szCs w:val="28"/>
        </w:rPr>
      </w:pPr>
      <w:r w:rsidRPr="00402368">
        <w:rPr>
          <w:b/>
          <w:bCs/>
          <w:color w:val="auto"/>
          <w:sz w:val="28"/>
          <w:szCs w:val="28"/>
        </w:rPr>
        <w:br w:type="page"/>
      </w:r>
    </w:p>
    <w:p w14:paraId="70B7C6FD" w14:textId="77777777" w:rsidR="00E92762" w:rsidRPr="00402368" w:rsidRDefault="00E92762" w:rsidP="00316E2C">
      <w:pPr>
        <w:rPr>
          <w:b/>
          <w:bCs/>
          <w:color w:val="auto"/>
          <w:sz w:val="28"/>
          <w:szCs w:val="28"/>
        </w:rPr>
      </w:pPr>
      <w:r w:rsidRPr="00402368">
        <w:rPr>
          <w:b/>
          <w:bCs/>
          <w:color w:val="auto"/>
          <w:sz w:val="28"/>
          <w:szCs w:val="28"/>
        </w:rPr>
        <w:t>AMENDMENTS</w:t>
      </w:r>
    </w:p>
    <w:p w14:paraId="5559CDB3" w14:textId="77777777" w:rsidR="00E92762" w:rsidRPr="00402368" w:rsidRDefault="005F0E20" w:rsidP="00E91015">
      <w:pPr>
        <w:autoSpaceDE w:val="0"/>
        <w:autoSpaceDN w:val="0"/>
        <w:adjustRightInd w:val="0"/>
        <w:spacing w:line="240" w:lineRule="auto"/>
        <w:rPr>
          <w:color w:val="auto"/>
        </w:rPr>
      </w:pPr>
      <w:r w:rsidRPr="00402368">
        <w:rPr>
          <w:color w:val="auto"/>
        </w:rPr>
        <w:t xml:space="preserve">Amendments to the policy </w:t>
      </w:r>
      <w:r w:rsidR="00E92762" w:rsidRPr="00402368">
        <w:rPr>
          <w:color w:val="auto"/>
        </w:rPr>
        <w:t>may be issued from time to time.  A new amendment history will be issued with each change.</w:t>
      </w:r>
    </w:p>
    <w:p w14:paraId="71351FB8" w14:textId="77777777" w:rsidR="00F169A4" w:rsidRPr="00402368" w:rsidRDefault="00F169A4" w:rsidP="00316E2C">
      <w:pPr>
        <w:autoSpaceDE w:val="0"/>
        <w:autoSpaceDN w:val="0"/>
        <w:adjustRightInd w:val="0"/>
        <w:rPr>
          <w:sz w:val="22"/>
          <w:szCs w:val="22"/>
        </w:rPr>
      </w:pPr>
    </w:p>
    <w:p w14:paraId="1E0ED1ED" w14:textId="77777777" w:rsidR="00E92762" w:rsidRPr="00402368" w:rsidRDefault="00E92762" w:rsidP="00316E2C">
      <w:pPr>
        <w:autoSpaceDE w:val="0"/>
        <w:autoSpaceDN w:val="0"/>
        <w:adjustRightInd w:val="0"/>
        <w:rPr>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1950"/>
        <w:gridCol w:w="2405"/>
        <w:gridCol w:w="2005"/>
        <w:gridCol w:w="1355"/>
        <w:gridCol w:w="1489"/>
      </w:tblGrid>
      <w:tr w:rsidR="00E91015" w:rsidRPr="00402368" w14:paraId="7BF666EB" w14:textId="77777777" w:rsidTr="50B42B01">
        <w:tc>
          <w:tcPr>
            <w:tcW w:w="1252" w:type="dxa"/>
          </w:tcPr>
          <w:p w14:paraId="39984325" w14:textId="77777777" w:rsidR="00E91015" w:rsidRPr="00E91015" w:rsidRDefault="00E91015" w:rsidP="00E91015">
            <w:pPr>
              <w:autoSpaceDE w:val="0"/>
              <w:autoSpaceDN w:val="0"/>
              <w:adjustRightInd w:val="0"/>
              <w:spacing w:line="240" w:lineRule="auto"/>
              <w:rPr>
                <w:b/>
                <w:bCs/>
                <w:color w:val="auto"/>
                <w:sz w:val="20"/>
                <w:szCs w:val="20"/>
              </w:rPr>
            </w:pPr>
            <w:r w:rsidRPr="00E91015">
              <w:rPr>
                <w:b/>
                <w:bCs/>
                <w:color w:val="auto"/>
                <w:sz w:val="20"/>
                <w:szCs w:val="20"/>
              </w:rPr>
              <w:t>New Version Number</w:t>
            </w:r>
          </w:p>
        </w:tc>
        <w:tc>
          <w:tcPr>
            <w:tcW w:w="1950" w:type="dxa"/>
          </w:tcPr>
          <w:p w14:paraId="2154B850" w14:textId="7BF6E5BB" w:rsidR="00E91015" w:rsidRPr="00E91015" w:rsidRDefault="00E91015" w:rsidP="00E91015">
            <w:pPr>
              <w:autoSpaceDE w:val="0"/>
              <w:autoSpaceDN w:val="0"/>
              <w:adjustRightInd w:val="0"/>
              <w:spacing w:line="240" w:lineRule="auto"/>
              <w:rPr>
                <w:b/>
                <w:bCs/>
                <w:color w:val="auto"/>
                <w:sz w:val="20"/>
                <w:szCs w:val="20"/>
              </w:rPr>
            </w:pPr>
            <w:r w:rsidRPr="00E91015">
              <w:rPr>
                <w:b/>
                <w:bCs/>
                <w:color w:val="auto"/>
                <w:sz w:val="20"/>
                <w:szCs w:val="20"/>
              </w:rPr>
              <w:t xml:space="preserve">Issued by </w:t>
            </w:r>
          </w:p>
        </w:tc>
        <w:tc>
          <w:tcPr>
            <w:tcW w:w="2405" w:type="dxa"/>
          </w:tcPr>
          <w:p w14:paraId="4A2F8EAF" w14:textId="77777777" w:rsidR="00E91015" w:rsidRPr="00E91015" w:rsidRDefault="00E91015" w:rsidP="00E91015">
            <w:pPr>
              <w:autoSpaceDE w:val="0"/>
              <w:autoSpaceDN w:val="0"/>
              <w:adjustRightInd w:val="0"/>
              <w:spacing w:line="240" w:lineRule="auto"/>
              <w:rPr>
                <w:color w:val="auto"/>
                <w:sz w:val="20"/>
                <w:szCs w:val="20"/>
              </w:rPr>
            </w:pPr>
            <w:r w:rsidRPr="00E91015">
              <w:rPr>
                <w:b/>
                <w:bCs/>
                <w:color w:val="auto"/>
                <w:sz w:val="20"/>
                <w:szCs w:val="20"/>
              </w:rPr>
              <w:t>Nature of Amendment</w:t>
            </w:r>
          </w:p>
        </w:tc>
        <w:tc>
          <w:tcPr>
            <w:tcW w:w="2005" w:type="dxa"/>
          </w:tcPr>
          <w:p w14:paraId="1D819D34" w14:textId="70A01AC4" w:rsidR="00E91015" w:rsidRPr="00E91015" w:rsidRDefault="00E91015" w:rsidP="00E91015">
            <w:pPr>
              <w:autoSpaceDE w:val="0"/>
              <w:autoSpaceDN w:val="0"/>
              <w:adjustRightInd w:val="0"/>
              <w:spacing w:line="240" w:lineRule="auto"/>
              <w:rPr>
                <w:b/>
                <w:color w:val="auto"/>
                <w:sz w:val="20"/>
                <w:szCs w:val="20"/>
              </w:rPr>
            </w:pPr>
            <w:r w:rsidRPr="00E91015">
              <w:rPr>
                <w:b/>
                <w:color w:val="auto"/>
                <w:sz w:val="20"/>
                <w:szCs w:val="20"/>
              </w:rPr>
              <w:t>Approving body</w:t>
            </w:r>
          </w:p>
        </w:tc>
        <w:tc>
          <w:tcPr>
            <w:tcW w:w="1355" w:type="dxa"/>
          </w:tcPr>
          <w:p w14:paraId="49968B8B" w14:textId="2B349553" w:rsidR="00E91015" w:rsidRPr="00E91015" w:rsidRDefault="00E91015" w:rsidP="00E91015">
            <w:pPr>
              <w:autoSpaceDE w:val="0"/>
              <w:autoSpaceDN w:val="0"/>
              <w:adjustRightInd w:val="0"/>
              <w:spacing w:line="240" w:lineRule="auto"/>
              <w:rPr>
                <w:b/>
                <w:color w:val="auto"/>
                <w:sz w:val="20"/>
                <w:szCs w:val="20"/>
              </w:rPr>
            </w:pPr>
            <w:r w:rsidRPr="00E91015">
              <w:rPr>
                <w:b/>
                <w:color w:val="auto"/>
                <w:sz w:val="20"/>
                <w:szCs w:val="20"/>
              </w:rPr>
              <w:t>Approval date</w:t>
            </w:r>
          </w:p>
        </w:tc>
        <w:tc>
          <w:tcPr>
            <w:tcW w:w="1489" w:type="dxa"/>
          </w:tcPr>
          <w:p w14:paraId="10788E43" w14:textId="6217D1D4" w:rsidR="00E91015" w:rsidRPr="00E91015" w:rsidRDefault="00E91015" w:rsidP="00E91015">
            <w:pPr>
              <w:autoSpaceDE w:val="0"/>
              <w:autoSpaceDN w:val="0"/>
              <w:adjustRightInd w:val="0"/>
              <w:spacing w:line="240" w:lineRule="auto"/>
              <w:rPr>
                <w:b/>
                <w:color w:val="auto"/>
                <w:sz w:val="20"/>
                <w:szCs w:val="20"/>
              </w:rPr>
            </w:pPr>
            <w:r w:rsidRPr="00E91015">
              <w:rPr>
                <w:b/>
                <w:color w:val="auto"/>
                <w:sz w:val="20"/>
                <w:szCs w:val="20"/>
              </w:rPr>
              <w:t>Date published on website</w:t>
            </w:r>
          </w:p>
        </w:tc>
      </w:tr>
      <w:tr w:rsidR="00917D94" w:rsidRPr="00402368" w14:paraId="22DC4690" w14:textId="77777777" w:rsidTr="50B42B01">
        <w:tc>
          <w:tcPr>
            <w:tcW w:w="1252" w:type="dxa"/>
          </w:tcPr>
          <w:p w14:paraId="36D7499F" w14:textId="57EDEFA7" w:rsidR="00917D94" w:rsidRPr="00402368" w:rsidRDefault="00917D94" w:rsidP="00917D94">
            <w:pPr>
              <w:rPr>
                <w:color w:val="000000"/>
              </w:rPr>
            </w:pPr>
            <w:r>
              <w:rPr>
                <w:color w:val="000000"/>
              </w:rPr>
              <w:t>V1.0</w:t>
            </w:r>
          </w:p>
        </w:tc>
        <w:tc>
          <w:tcPr>
            <w:tcW w:w="1950" w:type="dxa"/>
          </w:tcPr>
          <w:p w14:paraId="7C30232A" w14:textId="12A56BBE" w:rsidR="00917D94" w:rsidRPr="00917D94" w:rsidRDefault="00917D94" w:rsidP="00917D94">
            <w:pPr>
              <w:spacing w:line="240" w:lineRule="auto"/>
              <w:rPr>
                <w:color w:val="auto"/>
              </w:rPr>
            </w:pPr>
            <w:r w:rsidRPr="00917D94">
              <w:rPr>
                <w:color w:val="auto"/>
              </w:rPr>
              <w:t>Executive Director of Clinical and Professional</w:t>
            </w:r>
          </w:p>
        </w:tc>
        <w:tc>
          <w:tcPr>
            <w:tcW w:w="2405" w:type="dxa"/>
          </w:tcPr>
          <w:p w14:paraId="5DC1EA42" w14:textId="6F23014E" w:rsidR="00917D94" w:rsidRPr="00917D94" w:rsidRDefault="00917D94" w:rsidP="00917D94">
            <w:pPr>
              <w:spacing w:line="240" w:lineRule="auto"/>
              <w:rPr>
                <w:color w:val="auto"/>
              </w:rPr>
            </w:pPr>
            <w:r w:rsidRPr="00917D94">
              <w:rPr>
                <w:color w:val="auto"/>
              </w:rPr>
              <w:t>New policy</w:t>
            </w:r>
          </w:p>
        </w:tc>
        <w:tc>
          <w:tcPr>
            <w:tcW w:w="2005" w:type="dxa"/>
          </w:tcPr>
          <w:p w14:paraId="7344C44F" w14:textId="2CF610C3" w:rsidR="00917D94" w:rsidRPr="00917D94" w:rsidRDefault="00917D94" w:rsidP="00917D94">
            <w:pPr>
              <w:spacing w:line="240" w:lineRule="auto"/>
              <w:rPr>
                <w:color w:val="auto"/>
              </w:rPr>
            </w:pPr>
            <w:r w:rsidRPr="00917D94">
              <w:rPr>
                <w:color w:val="auto"/>
              </w:rPr>
              <w:t>Quality committee</w:t>
            </w:r>
          </w:p>
        </w:tc>
        <w:tc>
          <w:tcPr>
            <w:tcW w:w="1355" w:type="dxa"/>
          </w:tcPr>
          <w:p w14:paraId="16AB918A" w14:textId="76EDD364" w:rsidR="00917D94" w:rsidRPr="00917D94" w:rsidRDefault="00917D94" w:rsidP="00917D94">
            <w:pPr>
              <w:autoSpaceDE w:val="0"/>
              <w:autoSpaceDN w:val="0"/>
              <w:adjustRightInd w:val="0"/>
              <w:spacing w:line="240" w:lineRule="auto"/>
              <w:rPr>
                <w:color w:val="auto"/>
              </w:rPr>
            </w:pPr>
            <w:r w:rsidRPr="00917D94">
              <w:rPr>
                <w:color w:val="auto"/>
              </w:rPr>
              <w:t>1</w:t>
            </w:r>
            <w:r w:rsidRPr="00917D94">
              <w:rPr>
                <w:color w:val="auto"/>
                <w:vertAlign w:val="superscript"/>
              </w:rPr>
              <w:t>st</w:t>
            </w:r>
            <w:r w:rsidRPr="00917D94">
              <w:rPr>
                <w:color w:val="auto"/>
              </w:rPr>
              <w:t xml:space="preserve"> July 2022</w:t>
            </w:r>
          </w:p>
        </w:tc>
        <w:tc>
          <w:tcPr>
            <w:tcW w:w="1489" w:type="dxa"/>
          </w:tcPr>
          <w:p w14:paraId="302BFED7" w14:textId="1CD39945" w:rsidR="00917D94" w:rsidRPr="00917D94" w:rsidRDefault="00917D94" w:rsidP="00917D94">
            <w:pPr>
              <w:autoSpaceDE w:val="0"/>
              <w:autoSpaceDN w:val="0"/>
              <w:adjustRightInd w:val="0"/>
              <w:spacing w:line="240" w:lineRule="auto"/>
              <w:rPr>
                <w:color w:val="auto"/>
              </w:rPr>
            </w:pPr>
            <w:r w:rsidRPr="00917D94">
              <w:rPr>
                <w:color w:val="auto"/>
              </w:rPr>
              <w:t>July 2022</w:t>
            </w:r>
          </w:p>
        </w:tc>
      </w:tr>
      <w:tr w:rsidR="002C2ADC" w:rsidRPr="00402368" w14:paraId="71B28112" w14:textId="77777777" w:rsidTr="50B42B01">
        <w:tc>
          <w:tcPr>
            <w:tcW w:w="1252" w:type="dxa"/>
          </w:tcPr>
          <w:p w14:paraId="007315F3" w14:textId="5A5A040B" w:rsidR="002C2ADC" w:rsidRDefault="002C2ADC" w:rsidP="002C2ADC">
            <w:pPr>
              <w:rPr>
                <w:color w:val="000000"/>
              </w:rPr>
            </w:pPr>
            <w:r>
              <w:rPr>
                <w:color w:val="000000"/>
              </w:rPr>
              <w:t>V2.0</w:t>
            </w:r>
          </w:p>
        </w:tc>
        <w:tc>
          <w:tcPr>
            <w:tcW w:w="1950" w:type="dxa"/>
          </w:tcPr>
          <w:p w14:paraId="5A1DC8DE" w14:textId="0EEF65E3" w:rsidR="002C2ADC" w:rsidRPr="002C2ADC" w:rsidRDefault="002C2ADC" w:rsidP="002C2ADC">
            <w:pPr>
              <w:spacing w:line="240" w:lineRule="auto"/>
              <w:rPr>
                <w:color w:val="auto"/>
              </w:rPr>
            </w:pPr>
            <w:r w:rsidRPr="002C2ADC">
              <w:rPr>
                <w:color w:val="auto"/>
              </w:rPr>
              <w:t>Executive Director of Clinical and Professional</w:t>
            </w:r>
          </w:p>
        </w:tc>
        <w:tc>
          <w:tcPr>
            <w:tcW w:w="2405" w:type="dxa"/>
          </w:tcPr>
          <w:p w14:paraId="43AFD254" w14:textId="11245FA7" w:rsidR="002C2ADC" w:rsidRPr="002C2ADC" w:rsidRDefault="002C2ADC" w:rsidP="002C2ADC">
            <w:pPr>
              <w:spacing w:line="240" w:lineRule="auto"/>
              <w:rPr>
                <w:color w:val="auto"/>
              </w:rPr>
            </w:pPr>
            <w:r w:rsidRPr="002C2ADC">
              <w:rPr>
                <w:color w:val="auto"/>
              </w:rPr>
              <w:t>Updates to panel arrangements and quoracy</w:t>
            </w:r>
          </w:p>
        </w:tc>
        <w:tc>
          <w:tcPr>
            <w:tcW w:w="2005" w:type="dxa"/>
          </w:tcPr>
          <w:p w14:paraId="4B24B21D" w14:textId="3B764742" w:rsidR="002C2ADC" w:rsidRPr="002C2ADC" w:rsidRDefault="002C2ADC" w:rsidP="002C2ADC">
            <w:pPr>
              <w:spacing w:line="240" w:lineRule="auto"/>
              <w:rPr>
                <w:color w:val="auto"/>
              </w:rPr>
            </w:pPr>
            <w:r w:rsidRPr="002C2ADC">
              <w:rPr>
                <w:color w:val="auto"/>
              </w:rPr>
              <w:t>Quality committee</w:t>
            </w:r>
          </w:p>
        </w:tc>
        <w:tc>
          <w:tcPr>
            <w:tcW w:w="1355" w:type="dxa"/>
          </w:tcPr>
          <w:p w14:paraId="59D1D4F4" w14:textId="439894A8" w:rsidR="002C2ADC" w:rsidRPr="002C2ADC" w:rsidRDefault="002C2ADC" w:rsidP="002C2ADC">
            <w:pPr>
              <w:autoSpaceDE w:val="0"/>
              <w:autoSpaceDN w:val="0"/>
              <w:adjustRightInd w:val="0"/>
              <w:spacing w:line="240" w:lineRule="auto"/>
              <w:rPr>
                <w:color w:val="auto"/>
              </w:rPr>
            </w:pPr>
            <w:r w:rsidRPr="002C2ADC">
              <w:rPr>
                <w:color w:val="auto"/>
              </w:rPr>
              <w:t>1</w:t>
            </w:r>
            <w:r w:rsidRPr="002C2ADC">
              <w:rPr>
                <w:color w:val="auto"/>
                <w:vertAlign w:val="superscript"/>
              </w:rPr>
              <w:t>st</w:t>
            </w:r>
            <w:r w:rsidRPr="002C2ADC">
              <w:rPr>
                <w:color w:val="auto"/>
              </w:rPr>
              <w:t xml:space="preserve"> October 2023</w:t>
            </w:r>
          </w:p>
        </w:tc>
        <w:tc>
          <w:tcPr>
            <w:tcW w:w="1489" w:type="dxa"/>
          </w:tcPr>
          <w:p w14:paraId="61E38D59" w14:textId="4F8BB72A" w:rsidR="002C2ADC" w:rsidRPr="002C2ADC" w:rsidRDefault="002C2ADC" w:rsidP="002C2ADC">
            <w:pPr>
              <w:autoSpaceDE w:val="0"/>
              <w:autoSpaceDN w:val="0"/>
              <w:adjustRightInd w:val="0"/>
              <w:spacing w:line="240" w:lineRule="auto"/>
              <w:rPr>
                <w:color w:val="auto"/>
              </w:rPr>
            </w:pPr>
            <w:r w:rsidRPr="002C2ADC">
              <w:rPr>
                <w:color w:val="auto"/>
              </w:rPr>
              <w:t>September 2024 (accessible version)</w:t>
            </w:r>
          </w:p>
        </w:tc>
      </w:tr>
      <w:tr w:rsidR="002C2ADC" w:rsidRPr="00402368" w14:paraId="2290D715" w14:textId="77777777" w:rsidTr="50B42B01">
        <w:tc>
          <w:tcPr>
            <w:tcW w:w="1252" w:type="dxa"/>
          </w:tcPr>
          <w:p w14:paraId="5FF827FF" w14:textId="618CC8C1" w:rsidR="002C2ADC" w:rsidRDefault="002C2ADC" w:rsidP="002C2ADC">
            <w:pPr>
              <w:rPr>
                <w:color w:val="000000"/>
              </w:rPr>
            </w:pPr>
            <w:r>
              <w:rPr>
                <w:color w:val="000000"/>
              </w:rPr>
              <w:t>V3.0</w:t>
            </w:r>
          </w:p>
        </w:tc>
        <w:tc>
          <w:tcPr>
            <w:tcW w:w="1950" w:type="dxa"/>
          </w:tcPr>
          <w:p w14:paraId="4E233CF9" w14:textId="6C683454" w:rsidR="002C2ADC" w:rsidRPr="002C2ADC" w:rsidRDefault="002C2ADC" w:rsidP="002C2ADC">
            <w:pPr>
              <w:spacing w:line="240" w:lineRule="auto"/>
              <w:rPr>
                <w:color w:val="auto"/>
              </w:rPr>
            </w:pPr>
            <w:r w:rsidRPr="00917D94">
              <w:rPr>
                <w:color w:val="auto"/>
              </w:rPr>
              <w:t>Executive Director of Clinical and Professional</w:t>
            </w:r>
          </w:p>
        </w:tc>
        <w:tc>
          <w:tcPr>
            <w:tcW w:w="2405" w:type="dxa"/>
          </w:tcPr>
          <w:p w14:paraId="38E70668" w14:textId="665FE3B0" w:rsidR="002C2ADC" w:rsidRPr="002C2ADC" w:rsidRDefault="002C2ADC" w:rsidP="002C2ADC">
            <w:pPr>
              <w:spacing w:line="240" w:lineRule="auto"/>
              <w:rPr>
                <w:color w:val="auto"/>
              </w:rPr>
            </w:pPr>
            <w:r>
              <w:rPr>
                <w:color w:val="auto"/>
              </w:rPr>
              <w:t xml:space="preserve">Updates to Panel and </w:t>
            </w:r>
            <w:r w:rsidR="004B3A63">
              <w:rPr>
                <w:color w:val="auto"/>
              </w:rPr>
              <w:t xml:space="preserve">changes following internal audit </w:t>
            </w:r>
          </w:p>
        </w:tc>
        <w:tc>
          <w:tcPr>
            <w:tcW w:w="2005" w:type="dxa"/>
          </w:tcPr>
          <w:p w14:paraId="11ED977B" w14:textId="193EFF2D" w:rsidR="002C2ADC" w:rsidRPr="002C2ADC" w:rsidRDefault="004B3A63" w:rsidP="002C2ADC">
            <w:pPr>
              <w:spacing w:line="240" w:lineRule="auto"/>
              <w:rPr>
                <w:color w:val="auto"/>
              </w:rPr>
            </w:pPr>
            <w:r>
              <w:rPr>
                <w:color w:val="auto"/>
              </w:rPr>
              <w:t xml:space="preserve">Quality Committee </w:t>
            </w:r>
          </w:p>
        </w:tc>
        <w:tc>
          <w:tcPr>
            <w:tcW w:w="1355" w:type="dxa"/>
          </w:tcPr>
          <w:p w14:paraId="62D8F909" w14:textId="1BEA46E1" w:rsidR="002C2ADC" w:rsidRPr="002C2ADC" w:rsidRDefault="00C5284D" w:rsidP="002C2ADC">
            <w:pPr>
              <w:autoSpaceDE w:val="0"/>
              <w:autoSpaceDN w:val="0"/>
              <w:adjustRightInd w:val="0"/>
              <w:spacing w:line="240" w:lineRule="auto"/>
              <w:rPr>
                <w:color w:val="auto"/>
              </w:rPr>
            </w:pPr>
            <w:r>
              <w:rPr>
                <w:color w:val="auto"/>
              </w:rPr>
              <w:t>26</w:t>
            </w:r>
            <w:r w:rsidRPr="00C5284D">
              <w:rPr>
                <w:color w:val="auto"/>
                <w:vertAlign w:val="superscript"/>
              </w:rPr>
              <w:t>th</w:t>
            </w:r>
            <w:r>
              <w:rPr>
                <w:color w:val="auto"/>
              </w:rPr>
              <w:t xml:space="preserve"> June 2025</w:t>
            </w:r>
          </w:p>
        </w:tc>
        <w:tc>
          <w:tcPr>
            <w:tcW w:w="1489" w:type="dxa"/>
          </w:tcPr>
          <w:p w14:paraId="38D6C6AE" w14:textId="56DA6877" w:rsidR="002C2ADC" w:rsidRPr="002C2ADC" w:rsidRDefault="00C5284D" w:rsidP="002C2ADC">
            <w:pPr>
              <w:autoSpaceDE w:val="0"/>
              <w:autoSpaceDN w:val="0"/>
              <w:adjustRightInd w:val="0"/>
              <w:spacing w:line="240" w:lineRule="auto"/>
              <w:rPr>
                <w:color w:val="auto"/>
              </w:rPr>
            </w:pPr>
            <w:r>
              <w:rPr>
                <w:color w:val="auto"/>
              </w:rPr>
              <w:t>July 2025</w:t>
            </w:r>
          </w:p>
        </w:tc>
      </w:tr>
      <w:tr w:rsidR="00E74A46" w:rsidRPr="00402368" w14:paraId="4C6CB114" w14:textId="77777777" w:rsidTr="50B42B01">
        <w:tc>
          <w:tcPr>
            <w:tcW w:w="1252" w:type="dxa"/>
          </w:tcPr>
          <w:p w14:paraId="285F65BD" w14:textId="4637571F" w:rsidR="00E74A46" w:rsidRDefault="00E74A46" w:rsidP="002C2ADC">
            <w:pPr>
              <w:rPr>
                <w:color w:val="000000"/>
              </w:rPr>
            </w:pPr>
            <w:r>
              <w:rPr>
                <w:color w:val="000000"/>
              </w:rPr>
              <w:t>V4.0</w:t>
            </w:r>
          </w:p>
        </w:tc>
        <w:tc>
          <w:tcPr>
            <w:tcW w:w="1950" w:type="dxa"/>
          </w:tcPr>
          <w:p w14:paraId="6ECED09C" w14:textId="783DCAAD" w:rsidR="00E74A46" w:rsidRPr="00917D94" w:rsidRDefault="00E74A46" w:rsidP="002C2ADC">
            <w:pPr>
              <w:spacing w:line="240" w:lineRule="auto"/>
              <w:rPr>
                <w:color w:val="auto"/>
              </w:rPr>
            </w:pPr>
            <w:r w:rsidRPr="00917D94">
              <w:rPr>
                <w:color w:val="auto"/>
              </w:rPr>
              <w:t>Executive Director of Clinical and Professional</w:t>
            </w:r>
          </w:p>
        </w:tc>
        <w:tc>
          <w:tcPr>
            <w:tcW w:w="2405" w:type="dxa"/>
          </w:tcPr>
          <w:p w14:paraId="0F25DF6B" w14:textId="77EA40EE" w:rsidR="00E74A46" w:rsidRDefault="00E74A46" w:rsidP="002C2ADC">
            <w:pPr>
              <w:spacing w:line="240" w:lineRule="auto"/>
              <w:rPr>
                <w:color w:val="auto"/>
              </w:rPr>
            </w:pPr>
            <w:r>
              <w:rPr>
                <w:color w:val="auto"/>
              </w:rPr>
              <w:t xml:space="preserve">Updates to delegated authority and financial </w:t>
            </w:r>
            <w:r w:rsidR="00A15BF5">
              <w:rPr>
                <w:color w:val="auto"/>
              </w:rPr>
              <w:t>limits</w:t>
            </w:r>
          </w:p>
        </w:tc>
        <w:tc>
          <w:tcPr>
            <w:tcW w:w="2005" w:type="dxa"/>
          </w:tcPr>
          <w:p w14:paraId="3AF8D155" w14:textId="69927094" w:rsidR="00E74A46" w:rsidRDefault="00A15BF5" w:rsidP="002C2ADC">
            <w:pPr>
              <w:spacing w:line="240" w:lineRule="auto"/>
              <w:rPr>
                <w:color w:val="auto"/>
              </w:rPr>
            </w:pPr>
            <w:r>
              <w:rPr>
                <w:color w:val="auto"/>
              </w:rPr>
              <w:t>Quality Committee</w:t>
            </w:r>
          </w:p>
        </w:tc>
        <w:tc>
          <w:tcPr>
            <w:tcW w:w="1355" w:type="dxa"/>
          </w:tcPr>
          <w:p w14:paraId="76836BF6" w14:textId="2995314B" w:rsidR="00E74A46" w:rsidRDefault="30F69D6B" w:rsidP="002C2ADC">
            <w:pPr>
              <w:autoSpaceDE w:val="0"/>
              <w:autoSpaceDN w:val="0"/>
              <w:adjustRightInd w:val="0"/>
              <w:spacing w:line="240" w:lineRule="auto"/>
              <w:rPr>
                <w:color w:val="auto"/>
              </w:rPr>
            </w:pPr>
            <w:r w:rsidRPr="002BFBCC">
              <w:rPr>
                <w:color w:val="auto"/>
              </w:rPr>
              <w:t>30</w:t>
            </w:r>
            <w:r w:rsidRPr="002BFBCC">
              <w:rPr>
                <w:color w:val="auto"/>
                <w:vertAlign w:val="superscript"/>
              </w:rPr>
              <w:t>th</w:t>
            </w:r>
            <w:r w:rsidRPr="002BFBCC">
              <w:rPr>
                <w:color w:val="auto"/>
              </w:rPr>
              <w:t xml:space="preserve"> October 2025</w:t>
            </w:r>
          </w:p>
        </w:tc>
        <w:tc>
          <w:tcPr>
            <w:tcW w:w="1489" w:type="dxa"/>
          </w:tcPr>
          <w:p w14:paraId="2AD1C483" w14:textId="72542888" w:rsidR="00E74A46" w:rsidRDefault="30F69D6B" w:rsidP="002C2ADC">
            <w:pPr>
              <w:autoSpaceDE w:val="0"/>
              <w:autoSpaceDN w:val="0"/>
              <w:adjustRightInd w:val="0"/>
              <w:spacing w:line="240" w:lineRule="auto"/>
              <w:rPr>
                <w:color w:val="auto"/>
              </w:rPr>
            </w:pPr>
            <w:r w:rsidRPr="50B42B01">
              <w:rPr>
                <w:color w:val="auto"/>
              </w:rPr>
              <w:t>November 2025</w:t>
            </w:r>
          </w:p>
        </w:tc>
      </w:tr>
      <w:tr w:rsidR="00325311" w:rsidRPr="00402368" w14:paraId="75C9A448" w14:textId="77777777" w:rsidTr="50B42B01">
        <w:tc>
          <w:tcPr>
            <w:tcW w:w="1252" w:type="dxa"/>
          </w:tcPr>
          <w:p w14:paraId="417D393F" w14:textId="68D827CB" w:rsidR="00325311" w:rsidRDefault="00325311" w:rsidP="002C2ADC">
            <w:pPr>
              <w:rPr>
                <w:color w:val="000000"/>
              </w:rPr>
            </w:pPr>
            <w:r>
              <w:rPr>
                <w:color w:val="000000"/>
              </w:rPr>
              <w:t>V5.0</w:t>
            </w:r>
          </w:p>
        </w:tc>
        <w:tc>
          <w:tcPr>
            <w:tcW w:w="1950" w:type="dxa"/>
          </w:tcPr>
          <w:p w14:paraId="7C09EAE4" w14:textId="751D7541" w:rsidR="00325311" w:rsidRPr="00917D94" w:rsidRDefault="00325311" w:rsidP="002C2ADC">
            <w:pPr>
              <w:spacing w:line="240" w:lineRule="auto"/>
              <w:rPr>
                <w:color w:val="auto"/>
              </w:rPr>
            </w:pPr>
            <w:r w:rsidRPr="00917D94">
              <w:rPr>
                <w:color w:val="auto"/>
              </w:rPr>
              <w:t>Executive Director of Clinical and Professional</w:t>
            </w:r>
          </w:p>
        </w:tc>
        <w:tc>
          <w:tcPr>
            <w:tcW w:w="2405" w:type="dxa"/>
          </w:tcPr>
          <w:p w14:paraId="23853832" w14:textId="646DBF75" w:rsidR="00325311" w:rsidRDefault="007C3D7B" w:rsidP="002C2ADC">
            <w:pPr>
              <w:spacing w:line="240" w:lineRule="auto"/>
              <w:rPr>
                <w:color w:val="auto"/>
              </w:rPr>
            </w:pPr>
            <w:r>
              <w:rPr>
                <w:color w:val="auto"/>
              </w:rPr>
              <w:t xml:space="preserve">Amended policy </w:t>
            </w:r>
          </w:p>
        </w:tc>
        <w:tc>
          <w:tcPr>
            <w:tcW w:w="2005" w:type="dxa"/>
          </w:tcPr>
          <w:p w14:paraId="48C9AA4F" w14:textId="025F6931" w:rsidR="00325311" w:rsidRDefault="007C3D7B" w:rsidP="002C2ADC">
            <w:pPr>
              <w:spacing w:line="240" w:lineRule="auto"/>
              <w:rPr>
                <w:color w:val="auto"/>
              </w:rPr>
            </w:pPr>
            <w:r>
              <w:rPr>
                <w:color w:val="auto"/>
              </w:rPr>
              <w:t>Quality Committee</w:t>
            </w:r>
          </w:p>
        </w:tc>
        <w:tc>
          <w:tcPr>
            <w:tcW w:w="1355" w:type="dxa"/>
          </w:tcPr>
          <w:p w14:paraId="7B9771DC" w14:textId="7A654F0F" w:rsidR="00325311" w:rsidRPr="002BFBCC" w:rsidRDefault="00236C19" w:rsidP="002C2ADC">
            <w:pPr>
              <w:autoSpaceDE w:val="0"/>
              <w:autoSpaceDN w:val="0"/>
              <w:adjustRightInd w:val="0"/>
              <w:spacing w:line="240" w:lineRule="auto"/>
              <w:rPr>
                <w:color w:val="auto"/>
              </w:rPr>
            </w:pPr>
            <w:r>
              <w:rPr>
                <w:color w:val="auto"/>
              </w:rPr>
              <w:t>26</w:t>
            </w:r>
            <w:r w:rsidRPr="00236C19">
              <w:rPr>
                <w:color w:val="auto"/>
                <w:vertAlign w:val="superscript"/>
              </w:rPr>
              <w:t>th</w:t>
            </w:r>
            <w:r>
              <w:rPr>
                <w:color w:val="auto"/>
              </w:rPr>
              <w:t xml:space="preserve"> February 2026</w:t>
            </w:r>
          </w:p>
        </w:tc>
        <w:tc>
          <w:tcPr>
            <w:tcW w:w="1489" w:type="dxa"/>
          </w:tcPr>
          <w:p w14:paraId="7BF80AF7" w14:textId="36962580" w:rsidR="00325311" w:rsidRPr="50B42B01" w:rsidRDefault="00236C19" w:rsidP="002C2ADC">
            <w:pPr>
              <w:autoSpaceDE w:val="0"/>
              <w:autoSpaceDN w:val="0"/>
              <w:adjustRightInd w:val="0"/>
              <w:spacing w:line="240" w:lineRule="auto"/>
              <w:rPr>
                <w:color w:val="auto"/>
              </w:rPr>
            </w:pPr>
            <w:r>
              <w:rPr>
                <w:color w:val="auto"/>
              </w:rPr>
              <w:t>March 2026</w:t>
            </w:r>
          </w:p>
        </w:tc>
      </w:tr>
    </w:tbl>
    <w:p w14:paraId="33BB45A3" w14:textId="77777777" w:rsidR="004167BD" w:rsidRPr="00402368" w:rsidRDefault="004167BD" w:rsidP="00316E2C">
      <w:pPr>
        <w:rPr>
          <w:b/>
        </w:rPr>
      </w:pPr>
    </w:p>
    <w:p w14:paraId="326B5116" w14:textId="77777777" w:rsidR="004167BD" w:rsidRPr="00402368" w:rsidRDefault="004167BD" w:rsidP="00316E2C">
      <w:pPr>
        <w:rPr>
          <w:b/>
        </w:rPr>
      </w:pPr>
    </w:p>
    <w:p w14:paraId="5A128EC9" w14:textId="77777777" w:rsidR="004167BD" w:rsidRPr="00402368" w:rsidRDefault="004167BD" w:rsidP="00316E2C"/>
    <w:p w14:paraId="14FC8E0A" w14:textId="77777777" w:rsidR="007D24B2" w:rsidRPr="00402368" w:rsidRDefault="007D24B2" w:rsidP="00316E2C">
      <w:pPr>
        <w:rPr>
          <w:b/>
        </w:rPr>
      </w:pPr>
      <w:r w:rsidRPr="00402368">
        <w:rPr>
          <w:b/>
        </w:rPr>
        <w:br w:type="page"/>
      </w:r>
    </w:p>
    <w:p w14:paraId="3EEAA087" w14:textId="77777777" w:rsidR="00316E2C" w:rsidRPr="00316E2C" w:rsidRDefault="00316E2C" w:rsidP="00DC78A6">
      <w:pPr>
        <w:spacing w:line="240" w:lineRule="auto"/>
        <w:ind w:right="-760"/>
        <w:rPr>
          <w:b/>
          <w:color w:val="auto"/>
          <w:szCs w:val="20"/>
          <w:lang w:eastAsia="en-US"/>
        </w:rPr>
      </w:pPr>
    </w:p>
    <w:p w14:paraId="4A1D21A0" w14:textId="77777777" w:rsidR="00F11374" w:rsidRPr="00F11374" w:rsidRDefault="00F11374" w:rsidP="00316E2C">
      <w:pPr>
        <w:spacing w:line="240" w:lineRule="auto"/>
        <w:ind w:right="-760"/>
        <w:jc w:val="center"/>
        <w:rPr>
          <w:b/>
          <w:color w:val="auto"/>
          <w:szCs w:val="20"/>
          <w:lang w:eastAsia="en-US"/>
        </w:rPr>
      </w:pPr>
    </w:p>
    <w:sdt>
      <w:sdtPr>
        <w:rPr>
          <w:rFonts w:ascii="Arial" w:eastAsia="Times New Roman" w:hAnsi="Arial" w:cs="Arial"/>
          <w:b w:val="0"/>
          <w:bCs w:val="0"/>
          <w:color w:val="auto"/>
          <w:sz w:val="24"/>
          <w:szCs w:val="24"/>
          <w:lang w:val="en-GB" w:eastAsia="en-GB"/>
        </w:rPr>
        <w:id w:val="1739975210"/>
        <w:docPartObj>
          <w:docPartGallery w:val="Table of Contents"/>
          <w:docPartUnique/>
        </w:docPartObj>
      </w:sdtPr>
      <w:sdtEndPr>
        <w:rPr>
          <w:noProof/>
          <w:color w:val="000000" w:themeColor="text1"/>
        </w:rPr>
      </w:sdtEndPr>
      <w:sdtContent>
        <w:p w14:paraId="547ABCA8" w14:textId="3BF151C7" w:rsidR="009F2C13" w:rsidRPr="00A902AE" w:rsidRDefault="009F2C13" w:rsidP="009F2C13">
          <w:pPr>
            <w:pStyle w:val="TOCHeading"/>
            <w:numPr>
              <w:ilvl w:val="0"/>
              <w:numId w:val="0"/>
            </w:numPr>
            <w:rPr>
              <w:rFonts w:ascii="Arial" w:hAnsi="Arial" w:cs="Arial"/>
              <w:color w:val="000000" w:themeColor="text1"/>
            </w:rPr>
          </w:pPr>
          <w:r w:rsidRPr="00A902AE">
            <w:rPr>
              <w:rFonts w:ascii="Arial" w:hAnsi="Arial" w:cs="Arial"/>
              <w:color w:val="000000" w:themeColor="text1"/>
            </w:rPr>
            <w:t>Contents</w:t>
          </w:r>
        </w:p>
        <w:p w14:paraId="07AF0DB6" w14:textId="29EC0F89" w:rsidR="00A902AE" w:rsidRPr="00A902AE" w:rsidRDefault="009F2C13">
          <w:pPr>
            <w:pStyle w:val="TOC1"/>
            <w:rPr>
              <w:rFonts w:ascii="Arial" w:hAnsi="Arial" w:cs="Arial"/>
              <w:noProof/>
              <w:color w:val="000000" w:themeColor="text1"/>
              <w:kern w:val="2"/>
              <w:sz w:val="24"/>
              <w:szCs w:val="24"/>
              <w:lang w:val="en-GB" w:eastAsia="en-GB"/>
              <w14:ligatures w14:val="standardContextual"/>
            </w:rPr>
          </w:pPr>
          <w:r w:rsidRPr="00A902AE">
            <w:rPr>
              <w:rFonts w:ascii="Arial" w:hAnsi="Arial" w:cs="Arial"/>
              <w:color w:val="000000" w:themeColor="text1"/>
              <w:sz w:val="24"/>
              <w:szCs w:val="24"/>
            </w:rPr>
            <w:fldChar w:fldCharType="begin"/>
          </w:r>
          <w:r w:rsidRPr="00A902AE">
            <w:rPr>
              <w:rFonts w:ascii="Arial" w:hAnsi="Arial" w:cs="Arial"/>
              <w:color w:val="000000" w:themeColor="text1"/>
              <w:sz w:val="24"/>
              <w:szCs w:val="24"/>
            </w:rPr>
            <w:instrText xml:space="preserve"> TOC \o "1-3" \h \z \u </w:instrText>
          </w:r>
          <w:r w:rsidRPr="00A902AE">
            <w:rPr>
              <w:rFonts w:ascii="Arial" w:hAnsi="Arial" w:cs="Arial"/>
              <w:color w:val="000000" w:themeColor="text1"/>
              <w:sz w:val="24"/>
              <w:szCs w:val="24"/>
            </w:rPr>
            <w:fldChar w:fldCharType="separate"/>
          </w:r>
          <w:hyperlink w:anchor="_Toc146097535" w:history="1">
            <w:r w:rsidR="00A902AE" w:rsidRPr="00A902AE">
              <w:rPr>
                <w:rStyle w:val="Hyperlink"/>
                <w:rFonts w:ascii="Arial" w:hAnsi="Arial" w:cs="Arial"/>
                <w:bCs/>
                <w:noProof/>
                <w:color w:val="000000" w:themeColor="text1"/>
                <w:sz w:val="24"/>
                <w:szCs w:val="24"/>
                <w14:scene3d>
                  <w14:camera w14:prst="orthographicFront"/>
                  <w14:lightRig w14:rig="threePt" w14:dir="t">
                    <w14:rot w14:lat="0" w14:lon="0" w14:rev="0"/>
                  </w14:lightRig>
                </w14:scene3d>
              </w:rPr>
              <w:t>1</w:t>
            </w:r>
            <w:r w:rsidR="00A902AE" w:rsidRPr="00A902AE">
              <w:rPr>
                <w:rFonts w:ascii="Arial" w:hAnsi="Arial" w:cs="Arial"/>
                <w:noProof/>
                <w:color w:val="000000" w:themeColor="text1"/>
                <w:kern w:val="2"/>
                <w:sz w:val="24"/>
                <w:szCs w:val="24"/>
                <w:lang w:val="en-GB" w:eastAsia="en-GB"/>
                <w14:ligatures w14:val="standardContextual"/>
              </w:rPr>
              <w:tab/>
            </w:r>
            <w:r w:rsidR="00A902AE" w:rsidRPr="00A902AE">
              <w:rPr>
                <w:rStyle w:val="Hyperlink"/>
                <w:rFonts w:ascii="Arial" w:hAnsi="Arial" w:cs="Arial"/>
                <w:noProof/>
                <w:color w:val="000000" w:themeColor="text1"/>
                <w:sz w:val="24"/>
                <w:szCs w:val="24"/>
              </w:rPr>
              <w:t>Introduction</w:t>
            </w:r>
            <w:r w:rsidR="00A902AE" w:rsidRPr="00A902AE">
              <w:rPr>
                <w:rFonts w:ascii="Arial" w:hAnsi="Arial" w:cs="Arial"/>
                <w:noProof/>
                <w:webHidden/>
                <w:color w:val="000000" w:themeColor="text1"/>
                <w:sz w:val="24"/>
                <w:szCs w:val="24"/>
              </w:rPr>
              <w:tab/>
            </w:r>
            <w:r w:rsidR="00A902AE" w:rsidRPr="00A902AE">
              <w:rPr>
                <w:rFonts w:ascii="Arial" w:hAnsi="Arial" w:cs="Arial"/>
                <w:noProof/>
                <w:webHidden/>
                <w:color w:val="000000" w:themeColor="text1"/>
                <w:sz w:val="24"/>
                <w:szCs w:val="24"/>
              </w:rPr>
              <w:fldChar w:fldCharType="begin"/>
            </w:r>
            <w:r w:rsidR="00A902AE" w:rsidRPr="00A902AE">
              <w:rPr>
                <w:rFonts w:ascii="Arial" w:hAnsi="Arial" w:cs="Arial"/>
                <w:noProof/>
                <w:webHidden/>
                <w:color w:val="000000" w:themeColor="text1"/>
                <w:sz w:val="24"/>
                <w:szCs w:val="24"/>
              </w:rPr>
              <w:instrText xml:space="preserve"> PAGEREF _Toc146097535 \h </w:instrText>
            </w:r>
            <w:r w:rsidR="00A902AE" w:rsidRPr="00A902AE">
              <w:rPr>
                <w:rFonts w:ascii="Arial" w:hAnsi="Arial" w:cs="Arial"/>
                <w:noProof/>
                <w:webHidden/>
                <w:color w:val="000000" w:themeColor="text1"/>
                <w:sz w:val="24"/>
                <w:szCs w:val="24"/>
              </w:rPr>
            </w:r>
            <w:r w:rsidR="00A902AE" w:rsidRPr="00A902AE">
              <w:rPr>
                <w:rFonts w:ascii="Arial" w:hAnsi="Arial" w:cs="Arial"/>
                <w:noProof/>
                <w:webHidden/>
                <w:color w:val="000000" w:themeColor="text1"/>
                <w:sz w:val="24"/>
                <w:szCs w:val="24"/>
              </w:rPr>
              <w:fldChar w:fldCharType="separate"/>
            </w:r>
            <w:r w:rsidR="006A2E0D">
              <w:rPr>
                <w:rFonts w:ascii="Arial" w:hAnsi="Arial" w:cs="Arial"/>
                <w:noProof/>
                <w:webHidden/>
                <w:color w:val="000000" w:themeColor="text1"/>
                <w:sz w:val="24"/>
                <w:szCs w:val="24"/>
              </w:rPr>
              <w:t>4</w:t>
            </w:r>
            <w:r w:rsidR="00A902AE" w:rsidRPr="00A902AE">
              <w:rPr>
                <w:rFonts w:ascii="Arial" w:hAnsi="Arial" w:cs="Arial"/>
                <w:noProof/>
                <w:webHidden/>
                <w:color w:val="000000" w:themeColor="text1"/>
                <w:sz w:val="24"/>
                <w:szCs w:val="24"/>
              </w:rPr>
              <w:fldChar w:fldCharType="end"/>
            </w:r>
          </w:hyperlink>
        </w:p>
        <w:p w14:paraId="61ADB870" w14:textId="7797A57C" w:rsidR="00A902AE" w:rsidRPr="00A902AE" w:rsidRDefault="00A902AE">
          <w:pPr>
            <w:pStyle w:val="TOC1"/>
            <w:rPr>
              <w:rFonts w:ascii="Arial" w:hAnsi="Arial" w:cs="Arial"/>
              <w:noProof/>
              <w:color w:val="000000" w:themeColor="text1"/>
              <w:kern w:val="2"/>
              <w:sz w:val="24"/>
              <w:szCs w:val="24"/>
              <w:lang w:val="en-GB" w:eastAsia="en-GB"/>
              <w14:ligatures w14:val="standardContextual"/>
            </w:rPr>
          </w:pPr>
          <w:hyperlink w:anchor="_Toc146097536" w:history="1">
            <w:r w:rsidRPr="00A902AE">
              <w:rPr>
                <w:rStyle w:val="Hyperlink"/>
                <w:rFonts w:ascii="Arial" w:hAnsi="Arial" w:cs="Arial"/>
                <w:bCs/>
                <w:noProof/>
                <w:color w:val="000000" w:themeColor="text1"/>
                <w:sz w:val="24"/>
                <w:szCs w:val="24"/>
                <w14:scene3d>
                  <w14:camera w14:prst="orthographicFront"/>
                  <w14:lightRig w14:rig="threePt" w14:dir="t">
                    <w14:rot w14:lat="0" w14:lon="0" w14:rev="0"/>
                  </w14:lightRig>
                </w14:scene3d>
              </w:rPr>
              <w:t>2</w:t>
            </w:r>
            <w:r w:rsidRPr="00A902AE">
              <w:rPr>
                <w:rFonts w:ascii="Arial" w:hAnsi="Arial" w:cs="Arial"/>
                <w:noProof/>
                <w:color w:val="000000" w:themeColor="text1"/>
                <w:kern w:val="2"/>
                <w:sz w:val="24"/>
                <w:szCs w:val="24"/>
                <w:lang w:val="en-GB" w:eastAsia="en-GB"/>
                <w14:ligatures w14:val="standardContextual"/>
              </w:rPr>
              <w:tab/>
            </w:r>
            <w:r w:rsidRPr="00A902AE">
              <w:rPr>
                <w:rStyle w:val="Hyperlink"/>
                <w:rFonts w:ascii="Arial" w:hAnsi="Arial" w:cs="Arial"/>
                <w:noProof/>
                <w:color w:val="000000" w:themeColor="text1"/>
                <w:sz w:val="24"/>
                <w:szCs w:val="24"/>
              </w:rPr>
              <w:t>Purpose</w:t>
            </w:r>
            <w:r w:rsidRPr="00A902AE">
              <w:rPr>
                <w:rFonts w:ascii="Arial" w:hAnsi="Arial" w:cs="Arial"/>
                <w:noProof/>
                <w:webHidden/>
                <w:color w:val="000000" w:themeColor="text1"/>
                <w:sz w:val="24"/>
                <w:szCs w:val="24"/>
              </w:rPr>
              <w:tab/>
            </w:r>
            <w:r w:rsidRPr="00A902AE">
              <w:rPr>
                <w:rFonts w:ascii="Arial" w:hAnsi="Arial" w:cs="Arial"/>
                <w:noProof/>
                <w:webHidden/>
                <w:color w:val="000000" w:themeColor="text1"/>
                <w:sz w:val="24"/>
                <w:szCs w:val="24"/>
              </w:rPr>
              <w:fldChar w:fldCharType="begin"/>
            </w:r>
            <w:r w:rsidRPr="00A902AE">
              <w:rPr>
                <w:rFonts w:ascii="Arial" w:hAnsi="Arial" w:cs="Arial"/>
                <w:noProof/>
                <w:webHidden/>
                <w:color w:val="000000" w:themeColor="text1"/>
                <w:sz w:val="24"/>
                <w:szCs w:val="24"/>
              </w:rPr>
              <w:instrText xml:space="preserve"> PAGEREF _Toc146097536 \h </w:instrText>
            </w:r>
            <w:r w:rsidRPr="00A902AE">
              <w:rPr>
                <w:rFonts w:ascii="Arial" w:hAnsi="Arial" w:cs="Arial"/>
                <w:noProof/>
                <w:webHidden/>
                <w:color w:val="000000" w:themeColor="text1"/>
                <w:sz w:val="24"/>
                <w:szCs w:val="24"/>
              </w:rPr>
            </w:r>
            <w:r w:rsidRPr="00A902AE">
              <w:rPr>
                <w:rFonts w:ascii="Arial" w:hAnsi="Arial" w:cs="Arial"/>
                <w:noProof/>
                <w:webHidden/>
                <w:color w:val="000000" w:themeColor="text1"/>
                <w:sz w:val="24"/>
                <w:szCs w:val="24"/>
              </w:rPr>
              <w:fldChar w:fldCharType="separate"/>
            </w:r>
            <w:r w:rsidR="006A2E0D">
              <w:rPr>
                <w:rFonts w:ascii="Arial" w:hAnsi="Arial" w:cs="Arial"/>
                <w:noProof/>
                <w:webHidden/>
                <w:color w:val="000000" w:themeColor="text1"/>
                <w:sz w:val="24"/>
                <w:szCs w:val="24"/>
              </w:rPr>
              <w:t>4</w:t>
            </w:r>
            <w:r w:rsidRPr="00A902AE">
              <w:rPr>
                <w:rFonts w:ascii="Arial" w:hAnsi="Arial" w:cs="Arial"/>
                <w:noProof/>
                <w:webHidden/>
                <w:color w:val="000000" w:themeColor="text1"/>
                <w:sz w:val="24"/>
                <w:szCs w:val="24"/>
              </w:rPr>
              <w:fldChar w:fldCharType="end"/>
            </w:r>
          </w:hyperlink>
        </w:p>
        <w:p w14:paraId="608978CD" w14:textId="368F4C26" w:rsidR="00A902AE" w:rsidRPr="00A902AE" w:rsidRDefault="00A902AE">
          <w:pPr>
            <w:pStyle w:val="TOC1"/>
            <w:rPr>
              <w:rFonts w:ascii="Arial" w:hAnsi="Arial" w:cs="Arial"/>
              <w:noProof/>
              <w:color w:val="000000" w:themeColor="text1"/>
              <w:kern w:val="2"/>
              <w:sz w:val="24"/>
              <w:szCs w:val="24"/>
              <w:lang w:val="en-GB" w:eastAsia="en-GB"/>
              <w14:ligatures w14:val="standardContextual"/>
            </w:rPr>
          </w:pPr>
          <w:hyperlink w:anchor="_Toc146097537" w:history="1">
            <w:r w:rsidRPr="00A902AE">
              <w:rPr>
                <w:rStyle w:val="Hyperlink"/>
                <w:rFonts w:ascii="Arial" w:hAnsi="Arial" w:cs="Arial"/>
                <w:bCs/>
                <w:noProof/>
                <w:color w:val="000000" w:themeColor="text1"/>
                <w:sz w:val="24"/>
                <w:szCs w:val="24"/>
                <w14:scene3d>
                  <w14:camera w14:prst="orthographicFront"/>
                  <w14:lightRig w14:rig="threePt" w14:dir="t">
                    <w14:rot w14:lat="0" w14:lon="0" w14:rev="0"/>
                  </w14:lightRig>
                </w14:scene3d>
              </w:rPr>
              <w:t>3</w:t>
            </w:r>
            <w:r w:rsidRPr="00A902AE">
              <w:rPr>
                <w:rFonts w:ascii="Arial" w:hAnsi="Arial" w:cs="Arial"/>
                <w:noProof/>
                <w:color w:val="000000" w:themeColor="text1"/>
                <w:kern w:val="2"/>
                <w:sz w:val="24"/>
                <w:szCs w:val="24"/>
                <w:lang w:val="en-GB" w:eastAsia="en-GB"/>
                <w14:ligatures w14:val="standardContextual"/>
              </w:rPr>
              <w:tab/>
            </w:r>
            <w:r w:rsidRPr="00A902AE">
              <w:rPr>
                <w:rStyle w:val="Hyperlink"/>
                <w:rFonts w:ascii="Arial" w:hAnsi="Arial" w:cs="Arial"/>
                <w:noProof/>
                <w:color w:val="000000" w:themeColor="text1"/>
                <w:sz w:val="24"/>
                <w:szCs w:val="24"/>
              </w:rPr>
              <w:t>Definition</w:t>
            </w:r>
            <w:r w:rsidR="00937937">
              <w:rPr>
                <w:rStyle w:val="Hyperlink"/>
                <w:rFonts w:ascii="Arial" w:hAnsi="Arial" w:cs="Arial"/>
                <w:noProof/>
                <w:color w:val="000000" w:themeColor="text1"/>
                <w:sz w:val="24"/>
                <w:szCs w:val="24"/>
              </w:rPr>
              <w:t>s</w:t>
            </w:r>
            <w:r w:rsidRPr="00A902AE">
              <w:rPr>
                <w:rFonts w:ascii="Arial" w:hAnsi="Arial" w:cs="Arial"/>
                <w:noProof/>
                <w:webHidden/>
                <w:color w:val="000000" w:themeColor="text1"/>
                <w:sz w:val="24"/>
                <w:szCs w:val="24"/>
              </w:rPr>
              <w:tab/>
            </w:r>
            <w:r w:rsidRPr="00A902AE">
              <w:rPr>
                <w:rFonts w:ascii="Arial" w:hAnsi="Arial" w:cs="Arial"/>
                <w:noProof/>
                <w:webHidden/>
                <w:color w:val="000000" w:themeColor="text1"/>
                <w:sz w:val="24"/>
                <w:szCs w:val="24"/>
              </w:rPr>
              <w:fldChar w:fldCharType="begin"/>
            </w:r>
            <w:r w:rsidRPr="00A902AE">
              <w:rPr>
                <w:rFonts w:ascii="Arial" w:hAnsi="Arial" w:cs="Arial"/>
                <w:noProof/>
                <w:webHidden/>
                <w:color w:val="000000" w:themeColor="text1"/>
                <w:sz w:val="24"/>
                <w:szCs w:val="24"/>
              </w:rPr>
              <w:instrText xml:space="preserve"> PAGEREF _Toc146097537 \h </w:instrText>
            </w:r>
            <w:r w:rsidRPr="00A902AE">
              <w:rPr>
                <w:rFonts w:ascii="Arial" w:hAnsi="Arial" w:cs="Arial"/>
                <w:noProof/>
                <w:webHidden/>
                <w:color w:val="000000" w:themeColor="text1"/>
                <w:sz w:val="24"/>
                <w:szCs w:val="24"/>
              </w:rPr>
            </w:r>
            <w:r w:rsidRPr="00A902AE">
              <w:rPr>
                <w:rFonts w:ascii="Arial" w:hAnsi="Arial" w:cs="Arial"/>
                <w:noProof/>
                <w:webHidden/>
                <w:color w:val="000000" w:themeColor="text1"/>
                <w:sz w:val="24"/>
                <w:szCs w:val="24"/>
              </w:rPr>
              <w:fldChar w:fldCharType="separate"/>
            </w:r>
            <w:r w:rsidR="006A2E0D">
              <w:rPr>
                <w:rFonts w:ascii="Arial" w:hAnsi="Arial" w:cs="Arial"/>
                <w:noProof/>
                <w:webHidden/>
                <w:color w:val="000000" w:themeColor="text1"/>
                <w:sz w:val="24"/>
                <w:szCs w:val="24"/>
              </w:rPr>
              <w:t>4</w:t>
            </w:r>
            <w:r w:rsidRPr="00A902AE">
              <w:rPr>
                <w:rFonts w:ascii="Arial" w:hAnsi="Arial" w:cs="Arial"/>
                <w:noProof/>
                <w:webHidden/>
                <w:color w:val="000000" w:themeColor="text1"/>
                <w:sz w:val="24"/>
                <w:szCs w:val="24"/>
              </w:rPr>
              <w:fldChar w:fldCharType="end"/>
            </w:r>
          </w:hyperlink>
        </w:p>
        <w:p w14:paraId="14EC41B1" w14:textId="191B3EE0" w:rsidR="00A902AE" w:rsidRPr="00A902AE" w:rsidRDefault="00A902AE">
          <w:pPr>
            <w:pStyle w:val="TOC1"/>
            <w:rPr>
              <w:rFonts w:ascii="Arial" w:hAnsi="Arial" w:cs="Arial"/>
              <w:noProof/>
              <w:color w:val="000000" w:themeColor="text1"/>
              <w:kern w:val="2"/>
              <w:sz w:val="24"/>
              <w:szCs w:val="24"/>
              <w:lang w:val="en-GB" w:eastAsia="en-GB"/>
              <w14:ligatures w14:val="standardContextual"/>
            </w:rPr>
          </w:pPr>
          <w:hyperlink w:anchor="_Toc146097538" w:history="1">
            <w:r w:rsidRPr="00A902AE">
              <w:rPr>
                <w:rStyle w:val="Hyperlink"/>
                <w:rFonts w:ascii="Arial" w:hAnsi="Arial" w:cs="Arial"/>
                <w:bCs/>
                <w:noProof/>
                <w:color w:val="000000" w:themeColor="text1"/>
                <w:sz w:val="24"/>
                <w:szCs w:val="24"/>
                <w14:scene3d>
                  <w14:camera w14:prst="orthographicFront"/>
                  <w14:lightRig w14:rig="threePt" w14:dir="t">
                    <w14:rot w14:lat="0" w14:lon="0" w14:rev="0"/>
                  </w14:lightRig>
                </w14:scene3d>
              </w:rPr>
              <w:t>4</w:t>
            </w:r>
            <w:r w:rsidRPr="00A902AE">
              <w:rPr>
                <w:rFonts w:ascii="Arial" w:hAnsi="Arial" w:cs="Arial"/>
                <w:noProof/>
                <w:color w:val="000000" w:themeColor="text1"/>
                <w:kern w:val="2"/>
                <w:sz w:val="24"/>
                <w:szCs w:val="24"/>
                <w:lang w:val="en-GB" w:eastAsia="en-GB"/>
                <w14:ligatures w14:val="standardContextual"/>
              </w:rPr>
              <w:tab/>
            </w:r>
            <w:r w:rsidR="00937937">
              <w:rPr>
                <w:rStyle w:val="Hyperlink"/>
                <w:rFonts w:ascii="Arial" w:hAnsi="Arial" w:cs="Arial"/>
                <w:noProof/>
                <w:color w:val="000000" w:themeColor="text1"/>
                <w:sz w:val="24"/>
                <w:szCs w:val="24"/>
              </w:rPr>
              <w:t xml:space="preserve">Roles and Responsibilites </w:t>
            </w:r>
            <w:r w:rsidRPr="00A902AE">
              <w:rPr>
                <w:rFonts w:ascii="Arial" w:hAnsi="Arial" w:cs="Arial"/>
                <w:noProof/>
                <w:webHidden/>
                <w:color w:val="000000" w:themeColor="text1"/>
                <w:sz w:val="24"/>
                <w:szCs w:val="24"/>
              </w:rPr>
              <w:tab/>
            </w:r>
            <w:r w:rsidRPr="00A902AE">
              <w:rPr>
                <w:rFonts w:ascii="Arial" w:hAnsi="Arial" w:cs="Arial"/>
                <w:noProof/>
                <w:webHidden/>
                <w:color w:val="000000" w:themeColor="text1"/>
                <w:sz w:val="24"/>
                <w:szCs w:val="24"/>
              </w:rPr>
              <w:fldChar w:fldCharType="begin"/>
            </w:r>
            <w:r w:rsidRPr="00A902AE">
              <w:rPr>
                <w:rFonts w:ascii="Arial" w:hAnsi="Arial" w:cs="Arial"/>
                <w:noProof/>
                <w:webHidden/>
                <w:color w:val="000000" w:themeColor="text1"/>
                <w:sz w:val="24"/>
                <w:szCs w:val="24"/>
              </w:rPr>
              <w:instrText xml:space="preserve"> PAGEREF _Toc146097538 \h </w:instrText>
            </w:r>
            <w:r w:rsidRPr="00A902AE">
              <w:rPr>
                <w:rFonts w:ascii="Arial" w:hAnsi="Arial" w:cs="Arial"/>
                <w:noProof/>
                <w:webHidden/>
                <w:color w:val="000000" w:themeColor="text1"/>
                <w:sz w:val="24"/>
                <w:szCs w:val="24"/>
              </w:rPr>
            </w:r>
            <w:r w:rsidRPr="00A902AE">
              <w:rPr>
                <w:rFonts w:ascii="Arial" w:hAnsi="Arial" w:cs="Arial"/>
                <w:noProof/>
                <w:webHidden/>
                <w:color w:val="000000" w:themeColor="text1"/>
                <w:sz w:val="24"/>
                <w:szCs w:val="24"/>
              </w:rPr>
              <w:fldChar w:fldCharType="separate"/>
            </w:r>
            <w:r w:rsidR="006A2E0D">
              <w:rPr>
                <w:rFonts w:ascii="Arial" w:hAnsi="Arial" w:cs="Arial"/>
                <w:noProof/>
                <w:webHidden/>
                <w:color w:val="000000" w:themeColor="text1"/>
                <w:sz w:val="24"/>
                <w:szCs w:val="24"/>
              </w:rPr>
              <w:t>5</w:t>
            </w:r>
            <w:r w:rsidRPr="00A902AE">
              <w:rPr>
                <w:rFonts w:ascii="Arial" w:hAnsi="Arial" w:cs="Arial"/>
                <w:noProof/>
                <w:webHidden/>
                <w:color w:val="000000" w:themeColor="text1"/>
                <w:sz w:val="24"/>
                <w:szCs w:val="24"/>
              </w:rPr>
              <w:fldChar w:fldCharType="end"/>
            </w:r>
          </w:hyperlink>
        </w:p>
        <w:p w14:paraId="46A0E862" w14:textId="5391274C" w:rsidR="00A902AE" w:rsidRPr="00A902AE" w:rsidRDefault="00A902AE">
          <w:pPr>
            <w:pStyle w:val="TOC1"/>
            <w:rPr>
              <w:rFonts w:ascii="Arial" w:hAnsi="Arial" w:cs="Arial"/>
              <w:noProof/>
              <w:color w:val="000000" w:themeColor="text1"/>
              <w:kern w:val="2"/>
              <w:sz w:val="24"/>
              <w:szCs w:val="24"/>
              <w:lang w:val="en-GB" w:eastAsia="en-GB"/>
              <w14:ligatures w14:val="standardContextual"/>
            </w:rPr>
          </w:pPr>
          <w:hyperlink w:anchor="_Toc146097539" w:history="1">
            <w:r w:rsidRPr="00A902AE">
              <w:rPr>
                <w:rStyle w:val="Hyperlink"/>
                <w:rFonts w:ascii="Arial" w:hAnsi="Arial" w:cs="Arial"/>
                <w:bCs/>
                <w:noProof/>
                <w:color w:val="000000" w:themeColor="text1"/>
                <w:sz w:val="24"/>
                <w:szCs w:val="24"/>
                <w14:scene3d>
                  <w14:camera w14:prst="orthographicFront"/>
                  <w14:lightRig w14:rig="threePt" w14:dir="t">
                    <w14:rot w14:lat="0" w14:lon="0" w14:rev="0"/>
                  </w14:lightRig>
                </w14:scene3d>
              </w:rPr>
              <w:t>5</w:t>
            </w:r>
            <w:r w:rsidRPr="00A902AE">
              <w:rPr>
                <w:rFonts w:ascii="Arial" w:hAnsi="Arial" w:cs="Arial"/>
                <w:noProof/>
                <w:color w:val="000000" w:themeColor="text1"/>
                <w:kern w:val="2"/>
                <w:sz w:val="24"/>
                <w:szCs w:val="24"/>
                <w:lang w:val="en-GB" w:eastAsia="en-GB"/>
                <w14:ligatures w14:val="standardContextual"/>
              </w:rPr>
              <w:tab/>
            </w:r>
            <w:r w:rsidR="00F84821">
              <w:rPr>
                <w:rStyle w:val="Hyperlink"/>
                <w:rFonts w:ascii="Arial" w:hAnsi="Arial" w:cs="Arial"/>
                <w:noProof/>
                <w:color w:val="000000" w:themeColor="text1"/>
                <w:sz w:val="24"/>
                <w:szCs w:val="24"/>
              </w:rPr>
              <w:t>Content</w:t>
            </w:r>
            <w:r w:rsidRPr="00A902AE">
              <w:rPr>
                <w:rFonts w:ascii="Arial" w:hAnsi="Arial" w:cs="Arial"/>
                <w:noProof/>
                <w:webHidden/>
                <w:color w:val="000000" w:themeColor="text1"/>
                <w:sz w:val="24"/>
                <w:szCs w:val="24"/>
              </w:rPr>
              <w:tab/>
            </w:r>
            <w:r w:rsidRPr="00A902AE">
              <w:rPr>
                <w:rFonts w:ascii="Arial" w:hAnsi="Arial" w:cs="Arial"/>
                <w:noProof/>
                <w:webHidden/>
                <w:color w:val="000000" w:themeColor="text1"/>
                <w:sz w:val="24"/>
                <w:szCs w:val="24"/>
              </w:rPr>
              <w:fldChar w:fldCharType="begin"/>
            </w:r>
            <w:r w:rsidRPr="00A902AE">
              <w:rPr>
                <w:rFonts w:ascii="Arial" w:hAnsi="Arial" w:cs="Arial"/>
                <w:noProof/>
                <w:webHidden/>
                <w:color w:val="000000" w:themeColor="text1"/>
                <w:sz w:val="24"/>
                <w:szCs w:val="24"/>
              </w:rPr>
              <w:instrText xml:space="preserve"> PAGEREF _Toc146097539 \h </w:instrText>
            </w:r>
            <w:r w:rsidRPr="00A902AE">
              <w:rPr>
                <w:rFonts w:ascii="Arial" w:hAnsi="Arial" w:cs="Arial"/>
                <w:noProof/>
                <w:webHidden/>
                <w:color w:val="000000" w:themeColor="text1"/>
                <w:sz w:val="24"/>
                <w:szCs w:val="24"/>
              </w:rPr>
            </w:r>
            <w:r w:rsidRPr="00A902AE">
              <w:rPr>
                <w:rFonts w:ascii="Arial" w:hAnsi="Arial" w:cs="Arial"/>
                <w:noProof/>
                <w:webHidden/>
                <w:color w:val="000000" w:themeColor="text1"/>
                <w:sz w:val="24"/>
                <w:szCs w:val="24"/>
              </w:rPr>
              <w:fldChar w:fldCharType="separate"/>
            </w:r>
            <w:r w:rsidR="006A2E0D">
              <w:rPr>
                <w:rFonts w:ascii="Arial" w:hAnsi="Arial" w:cs="Arial"/>
                <w:noProof/>
                <w:webHidden/>
                <w:color w:val="000000" w:themeColor="text1"/>
                <w:sz w:val="24"/>
                <w:szCs w:val="24"/>
              </w:rPr>
              <w:t>5</w:t>
            </w:r>
            <w:r w:rsidRPr="00A902AE">
              <w:rPr>
                <w:rFonts w:ascii="Arial" w:hAnsi="Arial" w:cs="Arial"/>
                <w:noProof/>
                <w:webHidden/>
                <w:color w:val="000000" w:themeColor="text1"/>
                <w:sz w:val="24"/>
                <w:szCs w:val="24"/>
              </w:rPr>
              <w:fldChar w:fldCharType="end"/>
            </w:r>
          </w:hyperlink>
        </w:p>
        <w:p w14:paraId="25FFE393" w14:textId="4F179BAF" w:rsidR="00A902AE" w:rsidRPr="00A902AE" w:rsidRDefault="00A902AE">
          <w:pPr>
            <w:pStyle w:val="TOC1"/>
            <w:rPr>
              <w:rFonts w:ascii="Arial" w:hAnsi="Arial" w:cs="Arial"/>
              <w:noProof/>
              <w:color w:val="000000" w:themeColor="text1"/>
              <w:kern w:val="2"/>
              <w:sz w:val="24"/>
              <w:szCs w:val="24"/>
              <w:lang w:val="en-GB" w:eastAsia="en-GB"/>
              <w14:ligatures w14:val="standardContextual"/>
            </w:rPr>
          </w:pPr>
          <w:hyperlink w:anchor="_Toc146097540" w:history="1">
            <w:r w:rsidRPr="00A902AE">
              <w:rPr>
                <w:rStyle w:val="Hyperlink"/>
                <w:rFonts w:ascii="Arial" w:hAnsi="Arial" w:cs="Arial"/>
                <w:bCs/>
                <w:noProof/>
                <w:color w:val="000000" w:themeColor="text1"/>
                <w:sz w:val="24"/>
                <w:szCs w:val="24"/>
                <w14:scene3d>
                  <w14:camera w14:prst="orthographicFront"/>
                  <w14:lightRig w14:rig="threePt" w14:dir="t">
                    <w14:rot w14:lat="0" w14:lon="0" w14:rev="0"/>
                  </w14:lightRig>
                </w14:scene3d>
              </w:rPr>
              <w:t>6</w:t>
            </w:r>
            <w:r w:rsidRPr="00A902AE">
              <w:rPr>
                <w:rFonts w:ascii="Arial" w:hAnsi="Arial" w:cs="Arial"/>
                <w:noProof/>
                <w:color w:val="000000" w:themeColor="text1"/>
                <w:kern w:val="2"/>
                <w:sz w:val="24"/>
                <w:szCs w:val="24"/>
                <w:lang w:val="en-GB" w:eastAsia="en-GB"/>
                <w14:ligatures w14:val="standardContextual"/>
              </w:rPr>
              <w:tab/>
            </w:r>
            <w:r w:rsidR="00F84821">
              <w:rPr>
                <w:rStyle w:val="Hyperlink"/>
                <w:rFonts w:ascii="Arial" w:hAnsi="Arial" w:cs="Arial"/>
                <w:noProof/>
                <w:color w:val="000000" w:themeColor="text1"/>
                <w:sz w:val="24"/>
                <w:szCs w:val="24"/>
              </w:rPr>
              <w:t>Policy Details</w:t>
            </w:r>
            <w:r w:rsidRPr="00A902AE">
              <w:rPr>
                <w:rFonts w:ascii="Arial" w:hAnsi="Arial" w:cs="Arial"/>
                <w:noProof/>
                <w:webHidden/>
                <w:color w:val="000000" w:themeColor="text1"/>
                <w:sz w:val="24"/>
                <w:szCs w:val="24"/>
              </w:rPr>
              <w:tab/>
            </w:r>
            <w:r w:rsidRPr="00A902AE">
              <w:rPr>
                <w:rFonts w:ascii="Arial" w:hAnsi="Arial" w:cs="Arial"/>
                <w:noProof/>
                <w:webHidden/>
                <w:color w:val="000000" w:themeColor="text1"/>
                <w:sz w:val="24"/>
                <w:szCs w:val="24"/>
              </w:rPr>
              <w:fldChar w:fldCharType="begin"/>
            </w:r>
            <w:r w:rsidRPr="00A902AE">
              <w:rPr>
                <w:rFonts w:ascii="Arial" w:hAnsi="Arial" w:cs="Arial"/>
                <w:noProof/>
                <w:webHidden/>
                <w:color w:val="000000" w:themeColor="text1"/>
                <w:sz w:val="24"/>
                <w:szCs w:val="24"/>
              </w:rPr>
              <w:instrText xml:space="preserve"> PAGEREF _Toc146097540 \h </w:instrText>
            </w:r>
            <w:r w:rsidRPr="00A902AE">
              <w:rPr>
                <w:rFonts w:ascii="Arial" w:hAnsi="Arial" w:cs="Arial"/>
                <w:noProof/>
                <w:webHidden/>
                <w:color w:val="000000" w:themeColor="text1"/>
                <w:sz w:val="24"/>
                <w:szCs w:val="24"/>
              </w:rPr>
            </w:r>
            <w:r w:rsidRPr="00A902AE">
              <w:rPr>
                <w:rFonts w:ascii="Arial" w:hAnsi="Arial" w:cs="Arial"/>
                <w:noProof/>
                <w:webHidden/>
                <w:color w:val="000000" w:themeColor="text1"/>
                <w:sz w:val="24"/>
                <w:szCs w:val="24"/>
              </w:rPr>
              <w:fldChar w:fldCharType="separate"/>
            </w:r>
            <w:r w:rsidR="006A2E0D">
              <w:rPr>
                <w:rFonts w:ascii="Arial" w:hAnsi="Arial" w:cs="Arial"/>
                <w:noProof/>
                <w:webHidden/>
                <w:color w:val="000000" w:themeColor="text1"/>
                <w:sz w:val="24"/>
                <w:szCs w:val="24"/>
              </w:rPr>
              <w:t>7</w:t>
            </w:r>
            <w:r w:rsidRPr="00A902AE">
              <w:rPr>
                <w:rFonts w:ascii="Arial" w:hAnsi="Arial" w:cs="Arial"/>
                <w:noProof/>
                <w:webHidden/>
                <w:color w:val="000000" w:themeColor="text1"/>
                <w:sz w:val="24"/>
                <w:szCs w:val="24"/>
              </w:rPr>
              <w:fldChar w:fldCharType="end"/>
            </w:r>
          </w:hyperlink>
        </w:p>
        <w:p w14:paraId="64CA4E6D" w14:textId="42406829" w:rsidR="00A902AE" w:rsidRPr="00A902AE" w:rsidRDefault="00A902AE">
          <w:pPr>
            <w:pStyle w:val="TOC1"/>
            <w:rPr>
              <w:rFonts w:ascii="Arial" w:hAnsi="Arial" w:cs="Arial"/>
              <w:noProof/>
              <w:color w:val="000000" w:themeColor="text1"/>
              <w:kern w:val="2"/>
              <w:sz w:val="24"/>
              <w:szCs w:val="24"/>
              <w:lang w:val="en-GB" w:eastAsia="en-GB"/>
              <w14:ligatures w14:val="standardContextual"/>
            </w:rPr>
          </w:pPr>
          <w:hyperlink w:anchor="_Toc146097541" w:history="1">
            <w:r w:rsidRPr="00A902AE">
              <w:rPr>
                <w:rStyle w:val="Hyperlink"/>
                <w:rFonts w:ascii="Arial" w:hAnsi="Arial" w:cs="Arial"/>
                <w:bCs/>
                <w:noProof/>
                <w:color w:val="000000" w:themeColor="text1"/>
                <w:sz w:val="24"/>
                <w:szCs w:val="24"/>
                <w14:scene3d>
                  <w14:camera w14:prst="orthographicFront"/>
                  <w14:lightRig w14:rig="threePt" w14:dir="t">
                    <w14:rot w14:lat="0" w14:lon="0" w14:rev="0"/>
                  </w14:lightRig>
                </w14:scene3d>
              </w:rPr>
              <w:t>7</w:t>
            </w:r>
            <w:r w:rsidRPr="00A902AE">
              <w:rPr>
                <w:rFonts w:ascii="Arial" w:hAnsi="Arial" w:cs="Arial"/>
                <w:noProof/>
                <w:color w:val="000000" w:themeColor="text1"/>
                <w:kern w:val="2"/>
                <w:sz w:val="24"/>
                <w:szCs w:val="24"/>
                <w:lang w:val="en-GB" w:eastAsia="en-GB"/>
                <w14:ligatures w14:val="standardContextual"/>
              </w:rPr>
              <w:tab/>
            </w:r>
            <w:r w:rsidR="00F84821">
              <w:rPr>
                <w:rStyle w:val="Hyperlink"/>
                <w:rFonts w:ascii="Arial" w:hAnsi="Arial" w:cs="Arial"/>
                <w:noProof/>
                <w:color w:val="000000" w:themeColor="text1"/>
                <w:sz w:val="24"/>
                <w:szCs w:val="24"/>
              </w:rPr>
              <w:t xml:space="preserve">Public sector equality </w:t>
            </w:r>
            <w:r w:rsidR="00E25AF7">
              <w:rPr>
                <w:rStyle w:val="Hyperlink"/>
                <w:rFonts w:ascii="Arial" w:hAnsi="Arial" w:cs="Arial"/>
                <w:noProof/>
                <w:color w:val="000000" w:themeColor="text1"/>
                <w:sz w:val="24"/>
                <w:szCs w:val="24"/>
              </w:rPr>
              <w:t>duty</w:t>
            </w:r>
            <w:r w:rsidRPr="00A902AE">
              <w:rPr>
                <w:rFonts w:ascii="Arial" w:hAnsi="Arial" w:cs="Arial"/>
                <w:noProof/>
                <w:webHidden/>
                <w:color w:val="000000" w:themeColor="text1"/>
                <w:sz w:val="24"/>
                <w:szCs w:val="24"/>
              </w:rPr>
              <w:tab/>
            </w:r>
            <w:r w:rsidRPr="00A902AE">
              <w:rPr>
                <w:rFonts w:ascii="Arial" w:hAnsi="Arial" w:cs="Arial"/>
                <w:noProof/>
                <w:webHidden/>
                <w:color w:val="000000" w:themeColor="text1"/>
                <w:sz w:val="24"/>
                <w:szCs w:val="24"/>
              </w:rPr>
              <w:fldChar w:fldCharType="begin"/>
            </w:r>
            <w:r w:rsidRPr="00A902AE">
              <w:rPr>
                <w:rFonts w:ascii="Arial" w:hAnsi="Arial" w:cs="Arial"/>
                <w:noProof/>
                <w:webHidden/>
                <w:color w:val="000000" w:themeColor="text1"/>
                <w:sz w:val="24"/>
                <w:szCs w:val="24"/>
              </w:rPr>
              <w:instrText xml:space="preserve"> PAGEREF _Toc146097541 \h </w:instrText>
            </w:r>
            <w:r w:rsidRPr="00A902AE">
              <w:rPr>
                <w:rFonts w:ascii="Arial" w:hAnsi="Arial" w:cs="Arial"/>
                <w:noProof/>
                <w:webHidden/>
                <w:color w:val="000000" w:themeColor="text1"/>
                <w:sz w:val="24"/>
                <w:szCs w:val="24"/>
              </w:rPr>
            </w:r>
            <w:r w:rsidRPr="00A902AE">
              <w:rPr>
                <w:rFonts w:ascii="Arial" w:hAnsi="Arial" w:cs="Arial"/>
                <w:noProof/>
                <w:webHidden/>
                <w:color w:val="000000" w:themeColor="text1"/>
                <w:sz w:val="24"/>
                <w:szCs w:val="24"/>
              </w:rPr>
              <w:fldChar w:fldCharType="separate"/>
            </w:r>
            <w:r w:rsidR="006A2E0D">
              <w:rPr>
                <w:rFonts w:ascii="Arial" w:hAnsi="Arial" w:cs="Arial"/>
                <w:noProof/>
                <w:webHidden/>
                <w:color w:val="000000" w:themeColor="text1"/>
                <w:sz w:val="24"/>
                <w:szCs w:val="24"/>
              </w:rPr>
              <w:t>11</w:t>
            </w:r>
            <w:r w:rsidRPr="00A902AE">
              <w:rPr>
                <w:rFonts w:ascii="Arial" w:hAnsi="Arial" w:cs="Arial"/>
                <w:noProof/>
                <w:webHidden/>
                <w:color w:val="000000" w:themeColor="text1"/>
                <w:sz w:val="24"/>
                <w:szCs w:val="24"/>
              </w:rPr>
              <w:fldChar w:fldCharType="end"/>
            </w:r>
          </w:hyperlink>
        </w:p>
        <w:p w14:paraId="402F8523" w14:textId="129A543A" w:rsidR="00A902AE" w:rsidRPr="00A902AE" w:rsidRDefault="00A902AE">
          <w:pPr>
            <w:pStyle w:val="TOC1"/>
            <w:rPr>
              <w:rFonts w:ascii="Arial" w:hAnsi="Arial" w:cs="Arial"/>
              <w:noProof/>
              <w:color w:val="000000" w:themeColor="text1"/>
              <w:kern w:val="2"/>
              <w:sz w:val="24"/>
              <w:szCs w:val="24"/>
              <w:lang w:val="en-GB" w:eastAsia="en-GB"/>
              <w14:ligatures w14:val="standardContextual"/>
            </w:rPr>
          </w:pPr>
          <w:hyperlink w:anchor="_Toc146097542" w:history="1">
            <w:r w:rsidRPr="00A902AE">
              <w:rPr>
                <w:rStyle w:val="Hyperlink"/>
                <w:rFonts w:ascii="Arial" w:hAnsi="Arial" w:cs="Arial"/>
                <w:bCs/>
                <w:noProof/>
                <w:color w:val="000000" w:themeColor="text1"/>
                <w:sz w:val="24"/>
                <w:szCs w:val="24"/>
                <w14:scene3d>
                  <w14:camera w14:prst="orthographicFront"/>
                  <w14:lightRig w14:rig="threePt" w14:dir="t">
                    <w14:rot w14:lat="0" w14:lon="0" w14:rev="0"/>
                  </w14:lightRig>
                </w14:scene3d>
              </w:rPr>
              <w:t>8</w:t>
            </w:r>
            <w:r w:rsidRPr="00A902AE">
              <w:rPr>
                <w:rFonts w:ascii="Arial" w:hAnsi="Arial" w:cs="Arial"/>
                <w:noProof/>
                <w:color w:val="000000" w:themeColor="text1"/>
                <w:kern w:val="2"/>
                <w:sz w:val="24"/>
                <w:szCs w:val="24"/>
                <w:lang w:val="en-GB" w:eastAsia="en-GB"/>
                <w14:ligatures w14:val="standardContextual"/>
              </w:rPr>
              <w:tab/>
            </w:r>
            <w:r w:rsidR="00E25AF7">
              <w:rPr>
                <w:rStyle w:val="Hyperlink"/>
                <w:rFonts w:ascii="Arial" w:hAnsi="Arial" w:cs="Arial"/>
                <w:noProof/>
                <w:color w:val="000000" w:themeColor="text1"/>
                <w:sz w:val="24"/>
                <w:szCs w:val="24"/>
              </w:rPr>
              <w:t>Arrangements for reivew</w:t>
            </w:r>
            <w:r w:rsidRPr="00A902AE">
              <w:rPr>
                <w:rFonts w:ascii="Arial" w:hAnsi="Arial" w:cs="Arial"/>
                <w:noProof/>
                <w:webHidden/>
                <w:color w:val="000000" w:themeColor="text1"/>
                <w:sz w:val="24"/>
                <w:szCs w:val="24"/>
              </w:rPr>
              <w:tab/>
            </w:r>
            <w:r w:rsidRPr="00A902AE">
              <w:rPr>
                <w:rFonts w:ascii="Arial" w:hAnsi="Arial" w:cs="Arial"/>
                <w:noProof/>
                <w:webHidden/>
                <w:color w:val="000000" w:themeColor="text1"/>
                <w:sz w:val="24"/>
                <w:szCs w:val="24"/>
              </w:rPr>
              <w:fldChar w:fldCharType="begin"/>
            </w:r>
            <w:r w:rsidRPr="00A902AE">
              <w:rPr>
                <w:rFonts w:ascii="Arial" w:hAnsi="Arial" w:cs="Arial"/>
                <w:noProof/>
                <w:webHidden/>
                <w:color w:val="000000" w:themeColor="text1"/>
                <w:sz w:val="24"/>
                <w:szCs w:val="24"/>
              </w:rPr>
              <w:instrText xml:space="preserve"> PAGEREF _Toc146097542 \h </w:instrText>
            </w:r>
            <w:r w:rsidRPr="00A902AE">
              <w:rPr>
                <w:rFonts w:ascii="Arial" w:hAnsi="Arial" w:cs="Arial"/>
                <w:noProof/>
                <w:webHidden/>
                <w:color w:val="000000" w:themeColor="text1"/>
                <w:sz w:val="24"/>
                <w:szCs w:val="24"/>
              </w:rPr>
            </w:r>
            <w:r w:rsidRPr="00A902AE">
              <w:rPr>
                <w:rFonts w:ascii="Arial" w:hAnsi="Arial" w:cs="Arial"/>
                <w:noProof/>
                <w:webHidden/>
                <w:color w:val="000000" w:themeColor="text1"/>
                <w:sz w:val="24"/>
                <w:szCs w:val="24"/>
              </w:rPr>
              <w:fldChar w:fldCharType="separate"/>
            </w:r>
            <w:r w:rsidR="006A2E0D">
              <w:rPr>
                <w:rFonts w:ascii="Arial" w:hAnsi="Arial" w:cs="Arial"/>
                <w:noProof/>
                <w:webHidden/>
                <w:color w:val="000000" w:themeColor="text1"/>
                <w:sz w:val="24"/>
                <w:szCs w:val="24"/>
              </w:rPr>
              <w:t>11</w:t>
            </w:r>
            <w:r w:rsidRPr="00A902AE">
              <w:rPr>
                <w:rFonts w:ascii="Arial" w:hAnsi="Arial" w:cs="Arial"/>
                <w:noProof/>
                <w:webHidden/>
                <w:color w:val="000000" w:themeColor="text1"/>
                <w:sz w:val="24"/>
                <w:szCs w:val="24"/>
              </w:rPr>
              <w:fldChar w:fldCharType="end"/>
            </w:r>
          </w:hyperlink>
        </w:p>
        <w:p w14:paraId="7A136BE0" w14:textId="789A3607" w:rsidR="00A902AE" w:rsidRPr="00A902AE" w:rsidRDefault="00A902AE">
          <w:pPr>
            <w:pStyle w:val="TOC1"/>
            <w:rPr>
              <w:rFonts w:ascii="Arial" w:hAnsi="Arial" w:cs="Arial"/>
              <w:noProof/>
              <w:color w:val="000000" w:themeColor="text1"/>
              <w:kern w:val="2"/>
              <w:sz w:val="24"/>
              <w:szCs w:val="24"/>
              <w:lang w:val="en-GB" w:eastAsia="en-GB"/>
              <w14:ligatures w14:val="standardContextual"/>
            </w:rPr>
          </w:pPr>
          <w:hyperlink w:anchor="_Toc146097543" w:history="1">
            <w:r w:rsidRPr="00A902AE">
              <w:rPr>
                <w:rStyle w:val="Hyperlink"/>
                <w:rFonts w:ascii="Arial" w:hAnsi="Arial" w:cs="Arial"/>
                <w:bCs/>
                <w:noProof/>
                <w:color w:val="000000" w:themeColor="text1"/>
                <w:sz w:val="24"/>
                <w:szCs w:val="24"/>
                <w14:scene3d>
                  <w14:camera w14:prst="orthographicFront"/>
                  <w14:lightRig w14:rig="threePt" w14:dir="t">
                    <w14:rot w14:lat="0" w14:lon="0" w14:rev="0"/>
                  </w14:lightRig>
                </w14:scene3d>
              </w:rPr>
              <w:t>9</w:t>
            </w:r>
            <w:r w:rsidRPr="00A902AE">
              <w:rPr>
                <w:rFonts w:ascii="Arial" w:hAnsi="Arial" w:cs="Arial"/>
                <w:noProof/>
                <w:color w:val="000000" w:themeColor="text1"/>
                <w:kern w:val="2"/>
                <w:sz w:val="24"/>
                <w:szCs w:val="24"/>
                <w:lang w:val="en-GB" w:eastAsia="en-GB"/>
                <w14:ligatures w14:val="standardContextual"/>
              </w:rPr>
              <w:tab/>
            </w:r>
            <w:r w:rsidR="00E25AF7">
              <w:rPr>
                <w:rStyle w:val="Hyperlink"/>
                <w:rFonts w:ascii="Arial" w:hAnsi="Arial" w:cs="Arial"/>
                <w:noProof/>
                <w:color w:val="000000" w:themeColor="text1"/>
                <w:sz w:val="24"/>
                <w:szCs w:val="24"/>
              </w:rPr>
              <w:t>Dissemination</w:t>
            </w:r>
            <w:r w:rsidRPr="00A902AE">
              <w:rPr>
                <w:rFonts w:ascii="Arial" w:hAnsi="Arial" w:cs="Arial"/>
                <w:noProof/>
                <w:webHidden/>
                <w:color w:val="000000" w:themeColor="text1"/>
                <w:sz w:val="24"/>
                <w:szCs w:val="24"/>
              </w:rPr>
              <w:tab/>
            </w:r>
            <w:r w:rsidRPr="00A902AE">
              <w:rPr>
                <w:rFonts w:ascii="Arial" w:hAnsi="Arial" w:cs="Arial"/>
                <w:noProof/>
                <w:webHidden/>
                <w:color w:val="000000" w:themeColor="text1"/>
                <w:sz w:val="24"/>
                <w:szCs w:val="24"/>
              </w:rPr>
              <w:fldChar w:fldCharType="begin"/>
            </w:r>
            <w:r w:rsidRPr="00A902AE">
              <w:rPr>
                <w:rFonts w:ascii="Arial" w:hAnsi="Arial" w:cs="Arial"/>
                <w:noProof/>
                <w:webHidden/>
                <w:color w:val="000000" w:themeColor="text1"/>
                <w:sz w:val="24"/>
                <w:szCs w:val="24"/>
              </w:rPr>
              <w:instrText xml:space="preserve"> PAGEREF _Toc146097543 \h </w:instrText>
            </w:r>
            <w:r w:rsidRPr="00A902AE">
              <w:rPr>
                <w:rFonts w:ascii="Arial" w:hAnsi="Arial" w:cs="Arial"/>
                <w:noProof/>
                <w:webHidden/>
                <w:color w:val="000000" w:themeColor="text1"/>
                <w:sz w:val="24"/>
                <w:szCs w:val="24"/>
              </w:rPr>
            </w:r>
            <w:r w:rsidRPr="00A902AE">
              <w:rPr>
                <w:rFonts w:ascii="Arial" w:hAnsi="Arial" w:cs="Arial"/>
                <w:noProof/>
                <w:webHidden/>
                <w:color w:val="000000" w:themeColor="text1"/>
                <w:sz w:val="24"/>
                <w:szCs w:val="24"/>
              </w:rPr>
              <w:fldChar w:fldCharType="separate"/>
            </w:r>
            <w:r w:rsidR="006A2E0D">
              <w:rPr>
                <w:rFonts w:ascii="Arial" w:hAnsi="Arial" w:cs="Arial"/>
                <w:noProof/>
                <w:webHidden/>
                <w:color w:val="000000" w:themeColor="text1"/>
                <w:sz w:val="24"/>
                <w:szCs w:val="24"/>
              </w:rPr>
              <w:t>11</w:t>
            </w:r>
            <w:r w:rsidRPr="00A902AE">
              <w:rPr>
                <w:rFonts w:ascii="Arial" w:hAnsi="Arial" w:cs="Arial"/>
                <w:noProof/>
                <w:webHidden/>
                <w:color w:val="000000" w:themeColor="text1"/>
                <w:sz w:val="24"/>
                <w:szCs w:val="24"/>
              </w:rPr>
              <w:fldChar w:fldCharType="end"/>
            </w:r>
          </w:hyperlink>
        </w:p>
        <w:p w14:paraId="561E5A3F" w14:textId="056BE39B" w:rsidR="00A902AE" w:rsidRPr="00A902AE" w:rsidRDefault="00A902AE">
          <w:pPr>
            <w:pStyle w:val="TOC1"/>
            <w:rPr>
              <w:rFonts w:ascii="Arial" w:hAnsi="Arial" w:cs="Arial"/>
              <w:noProof/>
              <w:color w:val="000000" w:themeColor="text1"/>
              <w:kern w:val="2"/>
              <w:sz w:val="24"/>
              <w:szCs w:val="24"/>
              <w:lang w:val="en-GB" w:eastAsia="en-GB"/>
              <w14:ligatures w14:val="standardContextual"/>
            </w:rPr>
          </w:pPr>
          <w:hyperlink w:anchor="_Toc146097544" w:history="1">
            <w:r w:rsidRPr="00A902AE">
              <w:rPr>
                <w:rStyle w:val="Hyperlink"/>
                <w:rFonts w:ascii="Arial" w:hAnsi="Arial" w:cs="Arial"/>
                <w:bCs/>
                <w:noProof/>
                <w:color w:val="000000" w:themeColor="text1"/>
                <w:sz w:val="24"/>
                <w:szCs w:val="24"/>
                <w14:scene3d>
                  <w14:camera w14:prst="orthographicFront"/>
                  <w14:lightRig w14:rig="threePt" w14:dir="t">
                    <w14:rot w14:lat="0" w14:lon="0" w14:rev="0"/>
                  </w14:lightRig>
                </w14:scene3d>
              </w:rPr>
              <w:t>10</w:t>
            </w:r>
            <w:r w:rsidRPr="00A902AE">
              <w:rPr>
                <w:rFonts w:ascii="Arial" w:hAnsi="Arial" w:cs="Arial"/>
                <w:noProof/>
                <w:color w:val="000000" w:themeColor="text1"/>
                <w:kern w:val="2"/>
                <w:sz w:val="24"/>
                <w:szCs w:val="24"/>
                <w:lang w:val="en-GB" w:eastAsia="en-GB"/>
                <w14:ligatures w14:val="standardContextual"/>
              </w:rPr>
              <w:tab/>
            </w:r>
            <w:r w:rsidRPr="00A902AE">
              <w:rPr>
                <w:rStyle w:val="Hyperlink"/>
                <w:rFonts w:ascii="Arial" w:hAnsi="Arial" w:cs="Arial"/>
                <w:noProof/>
                <w:color w:val="000000" w:themeColor="text1"/>
                <w:sz w:val="24"/>
                <w:szCs w:val="24"/>
              </w:rPr>
              <w:t>Arrangements for Review</w:t>
            </w:r>
            <w:r w:rsidRPr="00A902AE">
              <w:rPr>
                <w:rFonts w:ascii="Arial" w:hAnsi="Arial" w:cs="Arial"/>
                <w:noProof/>
                <w:webHidden/>
                <w:color w:val="000000" w:themeColor="text1"/>
                <w:sz w:val="24"/>
                <w:szCs w:val="24"/>
              </w:rPr>
              <w:tab/>
            </w:r>
            <w:r w:rsidRPr="00A902AE">
              <w:rPr>
                <w:rFonts w:ascii="Arial" w:hAnsi="Arial" w:cs="Arial"/>
                <w:noProof/>
                <w:webHidden/>
                <w:color w:val="000000" w:themeColor="text1"/>
                <w:sz w:val="24"/>
                <w:szCs w:val="24"/>
              </w:rPr>
              <w:fldChar w:fldCharType="begin"/>
            </w:r>
            <w:r w:rsidRPr="00A902AE">
              <w:rPr>
                <w:rFonts w:ascii="Arial" w:hAnsi="Arial" w:cs="Arial"/>
                <w:noProof/>
                <w:webHidden/>
                <w:color w:val="000000" w:themeColor="text1"/>
                <w:sz w:val="24"/>
                <w:szCs w:val="24"/>
              </w:rPr>
              <w:instrText xml:space="preserve"> PAGEREF _Toc146097544 \h </w:instrText>
            </w:r>
            <w:r w:rsidRPr="00A902AE">
              <w:rPr>
                <w:rFonts w:ascii="Arial" w:hAnsi="Arial" w:cs="Arial"/>
                <w:noProof/>
                <w:webHidden/>
                <w:color w:val="000000" w:themeColor="text1"/>
                <w:sz w:val="24"/>
                <w:szCs w:val="24"/>
              </w:rPr>
            </w:r>
            <w:r w:rsidRPr="00A902AE">
              <w:rPr>
                <w:rFonts w:ascii="Arial" w:hAnsi="Arial" w:cs="Arial"/>
                <w:noProof/>
                <w:webHidden/>
                <w:color w:val="000000" w:themeColor="text1"/>
                <w:sz w:val="24"/>
                <w:szCs w:val="24"/>
              </w:rPr>
              <w:fldChar w:fldCharType="separate"/>
            </w:r>
            <w:r w:rsidR="006A2E0D">
              <w:rPr>
                <w:rFonts w:ascii="Arial" w:hAnsi="Arial" w:cs="Arial"/>
                <w:noProof/>
                <w:webHidden/>
                <w:color w:val="000000" w:themeColor="text1"/>
                <w:sz w:val="24"/>
                <w:szCs w:val="24"/>
              </w:rPr>
              <w:t>11</w:t>
            </w:r>
            <w:r w:rsidRPr="00A902AE">
              <w:rPr>
                <w:rFonts w:ascii="Arial" w:hAnsi="Arial" w:cs="Arial"/>
                <w:noProof/>
                <w:webHidden/>
                <w:color w:val="000000" w:themeColor="text1"/>
                <w:sz w:val="24"/>
                <w:szCs w:val="24"/>
              </w:rPr>
              <w:fldChar w:fldCharType="end"/>
            </w:r>
          </w:hyperlink>
        </w:p>
        <w:p w14:paraId="6579160D" w14:textId="74232A79" w:rsidR="00A902AE" w:rsidRPr="00A902AE" w:rsidRDefault="00A902AE">
          <w:pPr>
            <w:pStyle w:val="TOC1"/>
            <w:rPr>
              <w:rFonts w:ascii="Arial" w:hAnsi="Arial" w:cs="Arial"/>
              <w:noProof/>
              <w:color w:val="000000" w:themeColor="text1"/>
              <w:kern w:val="2"/>
              <w:sz w:val="24"/>
              <w:szCs w:val="24"/>
              <w:lang w:val="en-GB" w:eastAsia="en-GB"/>
              <w14:ligatures w14:val="standardContextual"/>
            </w:rPr>
          </w:pPr>
          <w:hyperlink w:anchor="_Toc146097545" w:history="1">
            <w:r w:rsidRPr="00A902AE">
              <w:rPr>
                <w:rStyle w:val="Hyperlink"/>
                <w:rFonts w:ascii="Arial" w:hAnsi="Arial" w:cs="Arial"/>
                <w:bCs/>
                <w:noProof/>
                <w:color w:val="000000" w:themeColor="text1"/>
                <w:sz w:val="24"/>
                <w:szCs w:val="24"/>
                <w14:scene3d>
                  <w14:camera w14:prst="orthographicFront"/>
                  <w14:lightRig w14:rig="threePt" w14:dir="t">
                    <w14:rot w14:lat="0" w14:lon="0" w14:rev="0"/>
                  </w14:lightRig>
                </w14:scene3d>
              </w:rPr>
              <w:t>11</w:t>
            </w:r>
            <w:r w:rsidRPr="00A902AE">
              <w:rPr>
                <w:rFonts w:ascii="Arial" w:hAnsi="Arial" w:cs="Arial"/>
                <w:noProof/>
                <w:color w:val="000000" w:themeColor="text1"/>
                <w:kern w:val="2"/>
                <w:sz w:val="24"/>
                <w:szCs w:val="24"/>
                <w:lang w:val="en-GB" w:eastAsia="en-GB"/>
                <w14:ligatures w14:val="standardContextual"/>
              </w:rPr>
              <w:tab/>
            </w:r>
            <w:r w:rsidRPr="00A902AE">
              <w:rPr>
                <w:rStyle w:val="Hyperlink"/>
                <w:rFonts w:ascii="Arial" w:hAnsi="Arial" w:cs="Arial"/>
                <w:noProof/>
                <w:color w:val="000000" w:themeColor="text1"/>
                <w:sz w:val="24"/>
                <w:szCs w:val="24"/>
              </w:rPr>
              <w:t>Dissemination</w:t>
            </w:r>
            <w:r w:rsidRPr="00A902AE">
              <w:rPr>
                <w:rFonts w:ascii="Arial" w:hAnsi="Arial" w:cs="Arial"/>
                <w:noProof/>
                <w:webHidden/>
                <w:color w:val="000000" w:themeColor="text1"/>
                <w:sz w:val="24"/>
                <w:szCs w:val="24"/>
              </w:rPr>
              <w:tab/>
            </w:r>
            <w:r w:rsidRPr="00A902AE">
              <w:rPr>
                <w:rFonts w:ascii="Arial" w:hAnsi="Arial" w:cs="Arial"/>
                <w:noProof/>
                <w:webHidden/>
                <w:color w:val="000000" w:themeColor="text1"/>
                <w:sz w:val="24"/>
                <w:szCs w:val="24"/>
              </w:rPr>
              <w:fldChar w:fldCharType="begin"/>
            </w:r>
            <w:r w:rsidRPr="00A902AE">
              <w:rPr>
                <w:rFonts w:ascii="Arial" w:hAnsi="Arial" w:cs="Arial"/>
                <w:noProof/>
                <w:webHidden/>
                <w:color w:val="000000" w:themeColor="text1"/>
                <w:sz w:val="24"/>
                <w:szCs w:val="24"/>
              </w:rPr>
              <w:instrText xml:space="preserve"> PAGEREF _Toc146097545 \h </w:instrText>
            </w:r>
            <w:r w:rsidRPr="00A902AE">
              <w:rPr>
                <w:rFonts w:ascii="Arial" w:hAnsi="Arial" w:cs="Arial"/>
                <w:noProof/>
                <w:webHidden/>
                <w:color w:val="000000" w:themeColor="text1"/>
                <w:sz w:val="24"/>
                <w:szCs w:val="24"/>
              </w:rPr>
            </w:r>
            <w:r w:rsidRPr="00A902AE">
              <w:rPr>
                <w:rFonts w:ascii="Arial" w:hAnsi="Arial" w:cs="Arial"/>
                <w:noProof/>
                <w:webHidden/>
                <w:color w:val="000000" w:themeColor="text1"/>
                <w:sz w:val="24"/>
                <w:szCs w:val="24"/>
              </w:rPr>
              <w:fldChar w:fldCharType="separate"/>
            </w:r>
            <w:r w:rsidR="006A2E0D">
              <w:rPr>
                <w:rFonts w:ascii="Arial" w:hAnsi="Arial" w:cs="Arial"/>
                <w:noProof/>
                <w:webHidden/>
                <w:color w:val="000000" w:themeColor="text1"/>
                <w:sz w:val="24"/>
                <w:szCs w:val="24"/>
              </w:rPr>
              <w:t>11</w:t>
            </w:r>
            <w:r w:rsidRPr="00A902AE">
              <w:rPr>
                <w:rFonts w:ascii="Arial" w:hAnsi="Arial" w:cs="Arial"/>
                <w:noProof/>
                <w:webHidden/>
                <w:color w:val="000000" w:themeColor="text1"/>
                <w:sz w:val="24"/>
                <w:szCs w:val="24"/>
              </w:rPr>
              <w:fldChar w:fldCharType="end"/>
            </w:r>
          </w:hyperlink>
        </w:p>
        <w:p w14:paraId="714FD187" w14:textId="502A5E6D" w:rsidR="00A902AE" w:rsidRPr="00A902AE" w:rsidRDefault="00A902AE">
          <w:pPr>
            <w:pStyle w:val="TOC1"/>
            <w:rPr>
              <w:rFonts w:ascii="Arial" w:hAnsi="Arial" w:cs="Arial"/>
              <w:noProof/>
              <w:color w:val="000000" w:themeColor="text1"/>
              <w:kern w:val="2"/>
              <w:sz w:val="24"/>
              <w:szCs w:val="24"/>
              <w:lang w:val="en-GB" w:eastAsia="en-GB"/>
              <w14:ligatures w14:val="standardContextual"/>
            </w:rPr>
          </w:pPr>
          <w:hyperlink w:anchor="_Toc146097546" w:history="1">
            <w:r w:rsidRPr="00A902AE">
              <w:rPr>
                <w:rStyle w:val="Hyperlink"/>
                <w:rFonts w:ascii="Arial" w:hAnsi="Arial" w:cs="Arial"/>
                <w:bCs/>
                <w:noProof/>
                <w:color w:val="000000" w:themeColor="text1"/>
                <w:sz w:val="24"/>
                <w:szCs w:val="24"/>
                <w14:scene3d>
                  <w14:camera w14:prst="orthographicFront"/>
                  <w14:lightRig w14:rig="threePt" w14:dir="t">
                    <w14:rot w14:lat="0" w14:lon="0" w14:rev="0"/>
                  </w14:lightRig>
                </w14:scene3d>
              </w:rPr>
              <w:t>12</w:t>
            </w:r>
            <w:r w:rsidRPr="00A902AE">
              <w:rPr>
                <w:rFonts w:ascii="Arial" w:hAnsi="Arial" w:cs="Arial"/>
                <w:noProof/>
                <w:color w:val="000000" w:themeColor="text1"/>
                <w:kern w:val="2"/>
                <w:sz w:val="24"/>
                <w:szCs w:val="24"/>
                <w:lang w:val="en-GB" w:eastAsia="en-GB"/>
                <w14:ligatures w14:val="standardContextual"/>
              </w:rPr>
              <w:tab/>
            </w:r>
            <w:r w:rsidRPr="00A902AE">
              <w:rPr>
                <w:rStyle w:val="Hyperlink"/>
                <w:rFonts w:ascii="Arial" w:hAnsi="Arial" w:cs="Arial"/>
                <w:noProof/>
                <w:color w:val="000000" w:themeColor="text1"/>
                <w:sz w:val="24"/>
                <w:szCs w:val="24"/>
              </w:rPr>
              <w:t>Associated Documentation</w:t>
            </w:r>
            <w:r w:rsidRPr="00A902AE">
              <w:rPr>
                <w:rFonts w:ascii="Arial" w:hAnsi="Arial" w:cs="Arial"/>
                <w:noProof/>
                <w:webHidden/>
                <w:color w:val="000000" w:themeColor="text1"/>
                <w:sz w:val="24"/>
                <w:szCs w:val="24"/>
              </w:rPr>
              <w:tab/>
            </w:r>
            <w:r w:rsidRPr="00A902AE">
              <w:rPr>
                <w:rFonts w:ascii="Arial" w:hAnsi="Arial" w:cs="Arial"/>
                <w:noProof/>
                <w:webHidden/>
                <w:color w:val="000000" w:themeColor="text1"/>
                <w:sz w:val="24"/>
                <w:szCs w:val="24"/>
              </w:rPr>
              <w:fldChar w:fldCharType="begin"/>
            </w:r>
            <w:r w:rsidRPr="00A902AE">
              <w:rPr>
                <w:rFonts w:ascii="Arial" w:hAnsi="Arial" w:cs="Arial"/>
                <w:noProof/>
                <w:webHidden/>
                <w:color w:val="000000" w:themeColor="text1"/>
                <w:sz w:val="24"/>
                <w:szCs w:val="24"/>
              </w:rPr>
              <w:instrText xml:space="preserve"> PAGEREF _Toc146097546 \h </w:instrText>
            </w:r>
            <w:r w:rsidRPr="00A902AE">
              <w:rPr>
                <w:rFonts w:ascii="Arial" w:hAnsi="Arial" w:cs="Arial"/>
                <w:noProof/>
                <w:webHidden/>
                <w:color w:val="000000" w:themeColor="text1"/>
                <w:sz w:val="24"/>
                <w:szCs w:val="24"/>
              </w:rPr>
            </w:r>
            <w:r w:rsidRPr="00A902AE">
              <w:rPr>
                <w:rFonts w:ascii="Arial" w:hAnsi="Arial" w:cs="Arial"/>
                <w:noProof/>
                <w:webHidden/>
                <w:color w:val="000000" w:themeColor="text1"/>
                <w:sz w:val="24"/>
                <w:szCs w:val="24"/>
              </w:rPr>
              <w:fldChar w:fldCharType="separate"/>
            </w:r>
            <w:r w:rsidR="006A2E0D">
              <w:rPr>
                <w:rFonts w:ascii="Arial" w:hAnsi="Arial" w:cs="Arial"/>
                <w:noProof/>
                <w:webHidden/>
                <w:color w:val="000000" w:themeColor="text1"/>
                <w:sz w:val="24"/>
                <w:szCs w:val="24"/>
              </w:rPr>
              <w:t>11</w:t>
            </w:r>
            <w:r w:rsidRPr="00A902AE">
              <w:rPr>
                <w:rFonts w:ascii="Arial" w:hAnsi="Arial" w:cs="Arial"/>
                <w:noProof/>
                <w:webHidden/>
                <w:color w:val="000000" w:themeColor="text1"/>
                <w:sz w:val="24"/>
                <w:szCs w:val="24"/>
              </w:rPr>
              <w:fldChar w:fldCharType="end"/>
            </w:r>
          </w:hyperlink>
        </w:p>
        <w:p w14:paraId="1E261BF6" w14:textId="726938AF" w:rsidR="00A902AE" w:rsidRPr="00A902AE" w:rsidRDefault="00A902AE">
          <w:pPr>
            <w:pStyle w:val="TOC1"/>
            <w:rPr>
              <w:rFonts w:ascii="Arial" w:hAnsi="Arial" w:cs="Arial"/>
              <w:noProof/>
              <w:color w:val="000000" w:themeColor="text1"/>
              <w:kern w:val="2"/>
              <w:sz w:val="24"/>
              <w:szCs w:val="24"/>
              <w:lang w:val="en-GB" w:eastAsia="en-GB"/>
              <w14:ligatures w14:val="standardContextual"/>
            </w:rPr>
          </w:pPr>
          <w:hyperlink w:anchor="_Toc146097547" w:history="1">
            <w:r w:rsidRPr="00A902AE">
              <w:rPr>
                <w:rStyle w:val="Hyperlink"/>
                <w:rFonts w:ascii="Arial" w:hAnsi="Arial" w:cs="Arial"/>
                <w:bCs/>
                <w:noProof/>
                <w:color w:val="000000" w:themeColor="text1"/>
                <w:sz w:val="24"/>
                <w:szCs w:val="24"/>
                <w14:scene3d>
                  <w14:camera w14:prst="orthographicFront"/>
                  <w14:lightRig w14:rig="threePt" w14:dir="t">
                    <w14:rot w14:lat="0" w14:lon="0" w14:rev="0"/>
                  </w14:lightRig>
                </w14:scene3d>
              </w:rPr>
              <w:t>13</w:t>
            </w:r>
            <w:r w:rsidRPr="00A902AE">
              <w:rPr>
                <w:rFonts w:ascii="Arial" w:hAnsi="Arial" w:cs="Arial"/>
                <w:noProof/>
                <w:color w:val="000000" w:themeColor="text1"/>
                <w:kern w:val="2"/>
                <w:sz w:val="24"/>
                <w:szCs w:val="24"/>
                <w:lang w:val="en-GB" w:eastAsia="en-GB"/>
                <w14:ligatures w14:val="standardContextual"/>
              </w:rPr>
              <w:tab/>
            </w:r>
            <w:r w:rsidRPr="00A902AE">
              <w:rPr>
                <w:rStyle w:val="Hyperlink"/>
                <w:rFonts w:ascii="Arial" w:hAnsi="Arial" w:cs="Arial"/>
                <w:noProof/>
                <w:color w:val="000000" w:themeColor="text1"/>
                <w:sz w:val="24"/>
                <w:szCs w:val="24"/>
              </w:rPr>
              <w:t>References</w:t>
            </w:r>
            <w:r w:rsidRPr="00A902AE">
              <w:rPr>
                <w:rFonts w:ascii="Arial" w:hAnsi="Arial" w:cs="Arial"/>
                <w:noProof/>
                <w:webHidden/>
                <w:color w:val="000000" w:themeColor="text1"/>
                <w:sz w:val="24"/>
                <w:szCs w:val="24"/>
              </w:rPr>
              <w:tab/>
            </w:r>
            <w:r w:rsidRPr="00A902AE">
              <w:rPr>
                <w:rFonts w:ascii="Arial" w:hAnsi="Arial" w:cs="Arial"/>
                <w:noProof/>
                <w:webHidden/>
                <w:color w:val="000000" w:themeColor="text1"/>
                <w:sz w:val="24"/>
                <w:szCs w:val="24"/>
              </w:rPr>
              <w:fldChar w:fldCharType="begin"/>
            </w:r>
            <w:r w:rsidRPr="00A902AE">
              <w:rPr>
                <w:rFonts w:ascii="Arial" w:hAnsi="Arial" w:cs="Arial"/>
                <w:noProof/>
                <w:webHidden/>
                <w:color w:val="000000" w:themeColor="text1"/>
                <w:sz w:val="24"/>
                <w:szCs w:val="24"/>
              </w:rPr>
              <w:instrText xml:space="preserve"> PAGEREF _Toc146097547 \h </w:instrText>
            </w:r>
            <w:r w:rsidRPr="00A902AE">
              <w:rPr>
                <w:rFonts w:ascii="Arial" w:hAnsi="Arial" w:cs="Arial"/>
                <w:noProof/>
                <w:webHidden/>
                <w:color w:val="000000" w:themeColor="text1"/>
                <w:sz w:val="24"/>
                <w:szCs w:val="24"/>
              </w:rPr>
            </w:r>
            <w:r w:rsidRPr="00A902AE">
              <w:rPr>
                <w:rFonts w:ascii="Arial" w:hAnsi="Arial" w:cs="Arial"/>
                <w:noProof/>
                <w:webHidden/>
                <w:color w:val="000000" w:themeColor="text1"/>
                <w:sz w:val="24"/>
                <w:szCs w:val="24"/>
              </w:rPr>
              <w:fldChar w:fldCharType="separate"/>
            </w:r>
            <w:r w:rsidR="006A2E0D">
              <w:rPr>
                <w:rFonts w:ascii="Arial" w:hAnsi="Arial" w:cs="Arial"/>
                <w:noProof/>
                <w:webHidden/>
                <w:color w:val="000000" w:themeColor="text1"/>
                <w:sz w:val="24"/>
                <w:szCs w:val="24"/>
              </w:rPr>
              <w:t>12</w:t>
            </w:r>
            <w:r w:rsidRPr="00A902AE">
              <w:rPr>
                <w:rFonts w:ascii="Arial" w:hAnsi="Arial" w:cs="Arial"/>
                <w:noProof/>
                <w:webHidden/>
                <w:color w:val="000000" w:themeColor="text1"/>
                <w:sz w:val="24"/>
                <w:szCs w:val="24"/>
              </w:rPr>
              <w:fldChar w:fldCharType="end"/>
            </w:r>
          </w:hyperlink>
        </w:p>
        <w:p w14:paraId="370B5FD8" w14:textId="5FD4479A" w:rsidR="00A902AE" w:rsidRPr="00A902AE" w:rsidRDefault="00A902AE">
          <w:pPr>
            <w:pStyle w:val="TOC1"/>
            <w:rPr>
              <w:rFonts w:ascii="Arial" w:hAnsi="Arial" w:cs="Arial"/>
              <w:noProof/>
              <w:color w:val="000000" w:themeColor="text1"/>
              <w:kern w:val="2"/>
              <w:sz w:val="24"/>
              <w:szCs w:val="24"/>
              <w:lang w:val="en-GB" w:eastAsia="en-GB"/>
              <w14:ligatures w14:val="standardContextual"/>
            </w:rPr>
          </w:pPr>
          <w:hyperlink w:anchor="_Toc146097548" w:history="1">
            <w:r w:rsidRPr="00A902AE">
              <w:rPr>
                <w:rStyle w:val="Hyperlink"/>
                <w:rFonts w:ascii="Arial" w:hAnsi="Arial" w:cs="Arial"/>
                <w:bCs/>
                <w:noProof/>
                <w:color w:val="000000" w:themeColor="text1"/>
                <w:sz w:val="24"/>
                <w:szCs w:val="24"/>
                <w14:scene3d>
                  <w14:camera w14:prst="orthographicFront"/>
                  <w14:lightRig w14:rig="threePt" w14:dir="t">
                    <w14:rot w14:lat="0" w14:lon="0" w14:rev="0"/>
                  </w14:lightRig>
                </w14:scene3d>
              </w:rPr>
              <w:t>14</w:t>
            </w:r>
            <w:r w:rsidRPr="00A902AE">
              <w:rPr>
                <w:rFonts w:ascii="Arial" w:hAnsi="Arial" w:cs="Arial"/>
                <w:noProof/>
                <w:color w:val="000000" w:themeColor="text1"/>
                <w:kern w:val="2"/>
                <w:sz w:val="24"/>
                <w:szCs w:val="24"/>
                <w:lang w:val="en-GB" w:eastAsia="en-GB"/>
                <w14:ligatures w14:val="standardContextual"/>
              </w:rPr>
              <w:tab/>
            </w:r>
            <w:r w:rsidRPr="00A902AE">
              <w:rPr>
                <w:rStyle w:val="Hyperlink"/>
                <w:rFonts w:ascii="Arial" w:hAnsi="Arial" w:cs="Arial"/>
                <w:noProof/>
                <w:color w:val="000000" w:themeColor="text1"/>
                <w:sz w:val="24"/>
                <w:szCs w:val="24"/>
              </w:rPr>
              <w:t>Appendices</w:t>
            </w:r>
            <w:r w:rsidRPr="00A902AE">
              <w:rPr>
                <w:rFonts w:ascii="Arial" w:hAnsi="Arial" w:cs="Arial"/>
                <w:noProof/>
                <w:webHidden/>
                <w:color w:val="000000" w:themeColor="text1"/>
                <w:sz w:val="24"/>
                <w:szCs w:val="24"/>
              </w:rPr>
              <w:tab/>
            </w:r>
            <w:r w:rsidRPr="00A902AE">
              <w:rPr>
                <w:rFonts w:ascii="Arial" w:hAnsi="Arial" w:cs="Arial"/>
                <w:noProof/>
                <w:webHidden/>
                <w:color w:val="000000" w:themeColor="text1"/>
                <w:sz w:val="24"/>
                <w:szCs w:val="24"/>
              </w:rPr>
              <w:fldChar w:fldCharType="begin"/>
            </w:r>
            <w:r w:rsidRPr="00A902AE">
              <w:rPr>
                <w:rFonts w:ascii="Arial" w:hAnsi="Arial" w:cs="Arial"/>
                <w:noProof/>
                <w:webHidden/>
                <w:color w:val="000000" w:themeColor="text1"/>
                <w:sz w:val="24"/>
                <w:szCs w:val="24"/>
              </w:rPr>
              <w:instrText xml:space="preserve"> PAGEREF _Toc146097548 \h </w:instrText>
            </w:r>
            <w:r w:rsidRPr="00A902AE">
              <w:rPr>
                <w:rFonts w:ascii="Arial" w:hAnsi="Arial" w:cs="Arial"/>
                <w:noProof/>
                <w:webHidden/>
                <w:color w:val="000000" w:themeColor="text1"/>
                <w:sz w:val="24"/>
                <w:szCs w:val="24"/>
              </w:rPr>
            </w:r>
            <w:r w:rsidRPr="00A902AE">
              <w:rPr>
                <w:rFonts w:ascii="Arial" w:hAnsi="Arial" w:cs="Arial"/>
                <w:noProof/>
                <w:webHidden/>
                <w:color w:val="000000" w:themeColor="text1"/>
                <w:sz w:val="24"/>
                <w:szCs w:val="24"/>
              </w:rPr>
              <w:fldChar w:fldCharType="separate"/>
            </w:r>
            <w:r w:rsidR="006A2E0D">
              <w:rPr>
                <w:rFonts w:ascii="Arial" w:hAnsi="Arial" w:cs="Arial"/>
                <w:noProof/>
                <w:webHidden/>
                <w:color w:val="000000" w:themeColor="text1"/>
                <w:sz w:val="24"/>
                <w:szCs w:val="24"/>
              </w:rPr>
              <w:t>12</w:t>
            </w:r>
            <w:r w:rsidRPr="00A902AE">
              <w:rPr>
                <w:rFonts w:ascii="Arial" w:hAnsi="Arial" w:cs="Arial"/>
                <w:noProof/>
                <w:webHidden/>
                <w:color w:val="000000" w:themeColor="text1"/>
                <w:sz w:val="24"/>
                <w:szCs w:val="24"/>
              </w:rPr>
              <w:fldChar w:fldCharType="end"/>
            </w:r>
          </w:hyperlink>
        </w:p>
        <w:p w14:paraId="4A68B324" w14:textId="719CD885" w:rsidR="00A902AE" w:rsidRPr="00A902AE" w:rsidRDefault="00A902AE">
          <w:pPr>
            <w:pStyle w:val="TOC1"/>
            <w:rPr>
              <w:rFonts w:ascii="Arial" w:hAnsi="Arial" w:cs="Arial"/>
              <w:noProof/>
              <w:color w:val="000000" w:themeColor="text1"/>
              <w:kern w:val="2"/>
              <w:sz w:val="24"/>
              <w:szCs w:val="24"/>
              <w:lang w:val="en-GB" w:eastAsia="en-GB"/>
              <w14:ligatures w14:val="standardContextual"/>
            </w:rPr>
          </w:pPr>
          <w:hyperlink w:anchor="_Toc146097549" w:history="1">
            <w:r w:rsidRPr="00A902AE">
              <w:rPr>
                <w:rStyle w:val="Hyperlink"/>
                <w:rFonts w:ascii="Arial" w:hAnsi="Arial" w:cs="Arial"/>
                <w:bCs/>
                <w:noProof/>
                <w:color w:val="000000" w:themeColor="text1"/>
                <w:sz w:val="24"/>
                <w:szCs w:val="24"/>
                <w14:scene3d>
                  <w14:camera w14:prst="orthographicFront"/>
                  <w14:lightRig w14:rig="threePt" w14:dir="t">
                    <w14:rot w14:lat="0" w14:lon="0" w14:rev="0"/>
                  </w14:lightRig>
                </w14:scene3d>
              </w:rPr>
              <w:t>15</w:t>
            </w:r>
            <w:r w:rsidRPr="00A902AE">
              <w:rPr>
                <w:rFonts w:ascii="Arial" w:hAnsi="Arial" w:cs="Arial"/>
                <w:noProof/>
                <w:color w:val="000000" w:themeColor="text1"/>
                <w:kern w:val="2"/>
                <w:sz w:val="24"/>
                <w:szCs w:val="24"/>
                <w:lang w:val="en-GB" w:eastAsia="en-GB"/>
                <w14:ligatures w14:val="standardContextual"/>
              </w:rPr>
              <w:tab/>
            </w:r>
            <w:r w:rsidRPr="00A902AE">
              <w:rPr>
                <w:rStyle w:val="Hyperlink"/>
                <w:rFonts w:ascii="Arial" w:hAnsi="Arial" w:cs="Arial"/>
                <w:noProof/>
                <w:color w:val="000000" w:themeColor="text1"/>
                <w:sz w:val="24"/>
                <w:szCs w:val="24"/>
              </w:rPr>
              <w:t>Impact Assessments</w:t>
            </w:r>
            <w:r w:rsidRPr="00A902AE">
              <w:rPr>
                <w:rFonts w:ascii="Arial" w:hAnsi="Arial" w:cs="Arial"/>
                <w:noProof/>
                <w:webHidden/>
                <w:color w:val="000000" w:themeColor="text1"/>
                <w:sz w:val="24"/>
                <w:szCs w:val="24"/>
              </w:rPr>
              <w:tab/>
            </w:r>
            <w:r w:rsidRPr="00A902AE">
              <w:rPr>
                <w:rFonts w:ascii="Arial" w:hAnsi="Arial" w:cs="Arial"/>
                <w:noProof/>
                <w:webHidden/>
                <w:color w:val="000000" w:themeColor="text1"/>
                <w:sz w:val="24"/>
                <w:szCs w:val="24"/>
              </w:rPr>
              <w:fldChar w:fldCharType="begin"/>
            </w:r>
            <w:r w:rsidRPr="00A902AE">
              <w:rPr>
                <w:rFonts w:ascii="Arial" w:hAnsi="Arial" w:cs="Arial"/>
                <w:noProof/>
                <w:webHidden/>
                <w:color w:val="000000" w:themeColor="text1"/>
                <w:sz w:val="24"/>
                <w:szCs w:val="24"/>
              </w:rPr>
              <w:instrText xml:space="preserve"> PAGEREF _Toc146097549 \h </w:instrText>
            </w:r>
            <w:r w:rsidRPr="00A902AE">
              <w:rPr>
                <w:rFonts w:ascii="Arial" w:hAnsi="Arial" w:cs="Arial"/>
                <w:noProof/>
                <w:webHidden/>
                <w:color w:val="000000" w:themeColor="text1"/>
                <w:sz w:val="24"/>
                <w:szCs w:val="24"/>
              </w:rPr>
            </w:r>
            <w:r w:rsidRPr="00A902AE">
              <w:rPr>
                <w:rFonts w:ascii="Arial" w:hAnsi="Arial" w:cs="Arial"/>
                <w:noProof/>
                <w:webHidden/>
                <w:color w:val="000000" w:themeColor="text1"/>
                <w:sz w:val="24"/>
                <w:szCs w:val="24"/>
              </w:rPr>
              <w:fldChar w:fldCharType="separate"/>
            </w:r>
            <w:r w:rsidR="006A2E0D">
              <w:rPr>
                <w:rFonts w:ascii="Arial" w:hAnsi="Arial" w:cs="Arial"/>
                <w:noProof/>
                <w:webHidden/>
                <w:color w:val="000000" w:themeColor="text1"/>
                <w:sz w:val="24"/>
                <w:szCs w:val="24"/>
              </w:rPr>
              <w:t>12</w:t>
            </w:r>
            <w:r w:rsidRPr="00A902AE">
              <w:rPr>
                <w:rFonts w:ascii="Arial" w:hAnsi="Arial" w:cs="Arial"/>
                <w:noProof/>
                <w:webHidden/>
                <w:color w:val="000000" w:themeColor="text1"/>
                <w:sz w:val="24"/>
                <w:szCs w:val="24"/>
              </w:rPr>
              <w:fldChar w:fldCharType="end"/>
            </w:r>
          </w:hyperlink>
        </w:p>
        <w:p w14:paraId="2DAD4578" w14:textId="379A6F3B" w:rsidR="00A902AE" w:rsidRPr="00A902AE" w:rsidRDefault="00A902AE">
          <w:pPr>
            <w:pStyle w:val="TOC2"/>
            <w:rPr>
              <w:rFonts w:ascii="Arial" w:hAnsi="Arial" w:cs="Arial"/>
              <w:noProof/>
              <w:color w:val="000000" w:themeColor="text1"/>
              <w:kern w:val="2"/>
              <w:sz w:val="24"/>
              <w:szCs w:val="24"/>
              <w:lang w:val="en-GB" w:eastAsia="en-GB"/>
              <w14:ligatures w14:val="standardContextual"/>
            </w:rPr>
          </w:pPr>
          <w:hyperlink w:anchor="_Toc146097550" w:history="1">
            <w:r w:rsidRPr="00A902AE">
              <w:rPr>
                <w:rStyle w:val="Hyperlink"/>
                <w:rFonts w:ascii="Arial" w:hAnsi="Arial" w:cs="Arial"/>
                <w:noProof/>
                <w:color w:val="000000" w:themeColor="text1"/>
                <w:sz w:val="24"/>
                <w:szCs w:val="24"/>
              </w:rPr>
              <w:t>15.1</w:t>
            </w:r>
            <w:r w:rsidRPr="00A902AE">
              <w:rPr>
                <w:rFonts w:ascii="Arial" w:hAnsi="Arial" w:cs="Arial"/>
                <w:noProof/>
                <w:color w:val="000000" w:themeColor="text1"/>
                <w:kern w:val="2"/>
                <w:sz w:val="24"/>
                <w:szCs w:val="24"/>
                <w:lang w:val="en-GB" w:eastAsia="en-GB"/>
                <w14:ligatures w14:val="standardContextual"/>
              </w:rPr>
              <w:tab/>
            </w:r>
            <w:r w:rsidRPr="00A902AE">
              <w:rPr>
                <w:rStyle w:val="Hyperlink"/>
                <w:rFonts w:ascii="Arial" w:hAnsi="Arial" w:cs="Arial"/>
                <w:noProof/>
                <w:color w:val="000000" w:themeColor="text1"/>
                <w:sz w:val="24"/>
                <w:szCs w:val="24"/>
              </w:rPr>
              <w:t>Equality</w:t>
            </w:r>
            <w:r w:rsidRPr="00A902AE">
              <w:rPr>
                <w:rFonts w:ascii="Arial" w:hAnsi="Arial" w:cs="Arial"/>
                <w:noProof/>
                <w:webHidden/>
                <w:color w:val="000000" w:themeColor="text1"/>
                <w:sz w:val="24"/>
                <w:szCs w:val="24"/>
              </w:rPr>
              <w:tab/>
            </w:r>
            <w:r w:rsidRPr="00A902AE">
              <w:rPr>
                <w:rFonts w:ascii="Arial" w:hAnsi="Arial" w:cs="Arial"/>
                <w:noProof/>
                <w:webHidden/>
                <w:color w:val="000000" w:themeColor="text1"/>
                <w:sz w:val="24"/>
                <w:szCs w:val="24"/>
              </w:rPr>
              <w:fldChar w:fldCharType="begin"/>
            </w:r>
            <w:r w:rsidRPr="00A902AE">
              <w:rPr>
                <w:rFonts w:ascii="Arial" w:hAnsi="Arial" w:cs="Arial"/>
                <w:noProof/>
                <w:webHidden/>
                <w:color w:val="000000" w:themeColor="text1"/>
                <w:sz w:val="24"/>
                <w:szCs w:val="24"/>
              </w:rPr>
              <w:instrText xml:space="preserve"> PAGEREF _Toc146097550 \h </w:instrText>
            </w:r>
            <w:r w:rsidRPr="00A902AE">
              <w:rPr>
                <w:rFonts w:ascii="Arial" w:hAnsi="Arial" w:cs="Arial"/>
                <w:noProof/>
                <w:webHidden/>
                <w:color w:val="000000" w:themeColor="text1"/>
                <w:sz w:val="24"/>
                <w:szCs w:val="24"/>
              </w:rPr>
            </w:r>
            <w:r w:rsidRPr="00A902AE">
              <w:rPr>
                <w:rFonts w:ascii="Arial" w:hAnsi="Arial" w:cs="Arial"/>
                <w:noProof/>
                <w:webHidden/>
                <w:color w:val="000000" w:themeColor="text1"/>
                <w:sz w:val="24"/>
                <w:szCs w:val="24"/>
              </w:rPr>
              <w:fldChar w:fldCharType="separate"/>
            </w:r>
            <w:r w:rsidR="006A2E0D">
              <w:rPr>
                <w:rFonts w:ascii="Arial" w:hAnsi="Arial" w:cs="Arial"/>
                <w:noProof/>
                <w:webHidden/>
                <w:color w:val="000000" w:themeColor="text1"/>
                <w:sz w:val="24"/>
                <w:szCs w:val="24"/>
              </w:rPr>
              <w:t>12</w:t>
            </w:r>
            <w:r w:rsidRPr="00A902AE">
              <w:rPr>
                <w:rFonts w:ascii="Arial" w:hAnsi="Arial" w:cs="Arial"/>
                <w:noProof/>
                <w:webHidden/>
                <w:color w:val="000000" w:themeColor="text1"/>
                <w:sz w:val="24"/>
                <w:szCs w:val="24"/>
              </w:rPr>
              <w:fldChar w:fldCharType="end"/>
            </w:r>
          </w:hyperlink>
        </w:p>
        <w:p w14:paraId="6B4EDAD1" w14:textId="44BBFB4F" w:rsidR="00A902AE" w:rsidRPr="00A902AE" w:rsidRDefault="00A902AE">
          <w:pPr>
            <w:pStyle w:val="TOC2"/>
            <w:rPr>
              <w:rFonts w:ascii="Arial" w:hAnsi="Arial" w:cs="Arial"/>
              <w:noProof/>
              <w:color w:val="000000" w:themeColor="text1"/>
              <w:kern w:val="2"/>
              <w:sz w:val="24"/>
              <w:szCs w:val="24"/>
              <w:lang w:val="en-GB" w:eastAsia="en-GB"/>
              <w14:ligatures w14:val="standardContextual"/>
            </w:rPr>
          </w:pPr>
          <w:hyperlink w:anchor="_Toc146097551" w:history="1">
            <w:r w:rsidRPr="00A902AE">
              <w:rPr>
                <w:rStyle w:val="Hyperlink"/>
                <w:rFonts w:ascii="Arial" w:hAnsi="Arial" w:cs="Arial"/>
                <w:noProof/>
                <w:color w:val="000000" w:themeColor="text1"/>
                <w:sz w:val="24"/>
                <w:szCs w:val="24"/>
              </w:rPr>
              <w:t>15.2</w:t>
            </w:r>
            <w:r w:rsidRPr="00A902AE">
              <w:rPr>
                <w:rFonts w:ascii="Arial" w:hAnsi="Arial" w:cs="Arial"/>
                <w:noProof/>
                <w:color w:val="000000" w:themeColor="text1"/>
                <w:kern w:val="2"/>
                <w:sz w:val="24"/>
                <w:szCs w:val="24"/>
                <w:lang w:val="en-GB" w:eastAsia="en-GB"/>
                <w14:ligatures w14:val="standardContextual"/>
              </w:rPr>
              <w:tab/>
            </w:r>
            <w:r w:rsidRPr="00A902AE">
              <w:rPr>
                <w:rStyle w:val="Hyperlink"/>
                <w:rFonts w:ascii="Arial" w:hAnsi="Arial" w:cs="Arial"/>
                <w:noProof/>
                <w:color w:val="000000" w:themeColor="text1"/>
                <w:sz w:val="24"/>
                <w:szCs w:val="24"/>
              </w:rPr>
              <w:t>Bribery Act 2010</w:t>
            </w:r>
            <w:r w:rsidRPr="00A902AE">
              <w:rPr>
                <w:rFonts w:ascii="Arial" w:hAnsi="Arial" w:cs="Arial"/>
                <w:noProof/>
                <w:webHidden/>
                <w:color w:val="000000" w:themeColor="text1"/>
                <w:sz w:val="24"/>
                <w:szCs w:val="24"/>
              </w:rPr>
              <w:tab/>
            </w:r>
            <w:r w:rsidRPr="00A902AE">
              <w:rPr>
                <w:rFonts w:ascii="Arial" w:hAnsi="Arial" w:cs="Arial"/>
                <w:noProof/>
                <w:webHidden/>
                <w:color w:val="000000" w:themeColor="text1"/>
                <w:sz w:val="24"/>
                <w:szCs w:val="24"/>
              </w:rPr>
              <w:fldChar w:fldCharType="begin"/>
            </w:r>
            <w:r w:rsidRPr="00A902AE">
              <w:rPr>
                <w:rFonts w:ascii="Arial" w:hAnsi="Arial" w:cs="Arial"/>
                <w:noProof/>
                <w:webHidden/>
                <w:color w:val="000000" w:themeColor="text1"/>
                <w:sz w:val="24"/>
                <w:szCs w:val="24"/>
              </w:rPr>
              <w:instrText xml:space="preserve"> PAGEREF _Toc146097551 \h </w:instrText>
            </w:r>
            <w:r w:rsidRPr="00A902AE">
              <w:rPr>
                <w:rFonts w:ascii="Arial" w:hAnsi="Arial" w:cs="Arial"/>
                <w:noProof/>
                <w:webHidden/>
                <w:color w:val="000000" w:themeColor="text1"/>
                <w:sz w:val="24"/>
                <w:szCs w:val="24"/>
              </w:rPr>
            </w:r>
            <w:r w:rsidRPr="00A902AE">
              <w:rPr>
                <w:rFonts w:ascii="Arial" w:hAnsi="Arial" w:cs="Arial"/>
                <w:noProof/>
                <w:webHidden/>
                <w:color w:val="000000" w:themeColor="text1"/>
                <w:sz w:val="24"/>
                <w:szCs w:val="24"/>
              </w:rPr>
              <w:fldChar w:fldCharType="separate"/>
            </w:r>
            <w:r w:rsidR="006A2E0D">
              <w:rPr>
                <w:rFonts w:ascii="Arial" w:hAnsi="Arial" w:cs="Arial"/>
                <w:noProof/>
                <w:webHidden/>
                <w:color w:val="000000" w:themeColor="text1"/>
                <w:sz w:val="24"/>
                <w:szCs w:val="24"/>
              </w:rPr>
              <w:t>13</w:t>
            </w:r>
            <w:r w:rsidRPr="00A902AE">
              <w:rPr>
                <w:rFonts w:ascii="Arial" w:hAnsi="Arial" w:cs="Arial"/>
                <w:noProof/>
                <w:webHidden/>
                <w:color w:val="000000" w:themeColor="text1"/>
                <w:sz w:val="24"/>
                <w:szCs w:val="24"/>
              </w:rPr>
              <w:fldChar w:fldCharType="end"/>
            </w:r>
          </w:hyperlink>
        </w:p>
        <w:p w14:paraId="4B2D760B" w14:textId="71A5A42B" w:rsidR="00A902AE" w:rsidRPr="00A902AE" w:rsidRDefault="00A902AE">
          <w:pPr>
            <w:pStyle w:val="TOC2"/>
            <w:rPr>
              <w:rFonts w:ascii="Arial" w:hAnsi="Arial" w:cs="Arial"/>
              <w:noProof/>
              <w:color w:val="000000" w:themeColor="text1"/>
              <w:kern w:val="2"/>
              <w:sz w:val="24"/>
              <w:szCs w:val="24"/>
              <w:lang w:val="en-GB" w:eastAsia="en-GB"/>
              <w14:ligatures w14:val="standardContextual"/>
            </w:rPr>
          </w:pPr>
          <w:hyperlink w:anchor="_Toc146097552" w:history="1">
            <w:r w:rsidRPr="00A902AE">
              <w:rPr>
                <w:rStyle w:val="Hyperlink"/>
                <w:rFonts w:ascii="Arial" w:hAnsi="Arial" w:cs="Arial"/>
                <w:noProof/>
                <w:color w:val="000000" w:themeColor="text1"/>
                <w:sz w:val="24"/>
                <w:szCs w:val="24"/>
              </w:rPr>
              <w:t>15.3</w:t>
            </w:r>
            <w:r w:rsidRPr="00A902AE">
              <w:rPr>
                <w:rFonts w:ascii="Arial" w:hAnsi="Arial" w:cs="Arial"/>
                <w:noProof/>
                <w:color w:val="000000" w:themeColor="text1"/>
                <w:kern w:val="2"/>
                <w:sz w:val="24"/>
                <w:szCs w:val="24"/>
                <w:lang w:val="en-GB" w:eastAsia="en-GB"/>
                <w14:ligatures w14:val="standardContextual"/>
              </w:rPr>
              <w:tab/>
            </w:r>
            <w:r w:rsidRPr="00A902AE">
              <w:rPr>
                <w:rStyle w:val="Hyperlink"/>
                <w:rFonts w:ascii="Arial" w:hAnsi="Arial" w:cs="Arial"/>
                <w:noProof/>
                <w:color w:val="000000" w:themeColor="text1"/>
                <w:sz w:val="24"/>
                <w:szCs w:val="24"/>
              </w:rPr>
              <w:t>General Data Protection Regulation (GDPR)</w:t>
            </w:r>
            <w:r w:rsidRPr="00A902AE">
              <w:rPr>
                <w:rFonts w:ascii="Arial" w:hAnsi="Arial" w:cs="Arial"/>
                <w:noProof/>
                <w:webHidden/>
                <w:color w:val="000000" w:themeColor="text1"/>
                <w:sz w:val="24"/>
                <w:szCs w:val="24"/>
              </w:rPr>
              <w:tab/>
            </w:r>
            <w:r w:rsidRPr="00A902AE">
              <w:rPr>
                <w:rFonts w:ascii="Arial" w:hAnsi="Arial" w:cs="Arial"/>
                <w:noProof/>
                <w:webHidden/>
                <w:color w:val="000000" w:themeColor="text1"/>
                <w:sz w:val="24"/>
                <w:szCs w:val="24"/>
              </w:rPr>
              <w:fldChar w:fldCharType="begin"/>
            </w:r>
            <w:r w:rsidRPr="00A902AE">
              <w:rPr>
                <w:rFonts w:ascii="Arial" w:hAnsi="Arial" w:cs="Arial"/>
                <w:noProof/>
                <w:webHidden/>
                <w:color w:val="000000" w:themeColor="text1"/>
                <w:sz w:val="24"/>
                <w:szCs w:val="24"/>
              </w:rPr>
              <w:instrText xml:space="preserve"> PAGEREF _Toc146097552 \h </w:instrText>
            </w:r>
            <w:r w:rsidRPr="00A902AE">
              <w:rPr>
                <w:rFonts w:ascii="Arial" w:hAnsi="Arial" w:cs="Arial"/>
                <w:noProof/>
                <w:webHidden/>
                <w:color w:val="000000" w:themeColor="text1"/>
                <w:sz w:val="24"/>
                <w:szCs w:val="24"/>
              </w:rPr>
            </w:r>
            <w:r w:rsidRPr="00A902AE">
              <w:rPr>
                <w:rFonts w:ascii="Arial" w:hAnsi="Arial" w:cs="Arial"/>
                <w:noProof/>
                <w:webHidden/>
                <w:color w:val="000000" w:themeColor="text1"/>
                <w:sz w:val="24"/>
                <w:szCs w:val="24"/>
              </w:rPr>
              <w:fldChar w:fldCharType="separate"/>
            </w:r>
            <w:r w:rsidR="006A2E0D">
              <w:rPr>
                <w:rFonts w:ascii="Arial" w:hAnsi="Arial" w:cs="Arial"/>
                <w:noProof/>
                <w:webHidden/>
                <w:color w:val="000000" w:themeColor="text1"/>
                <w:sz w:val="24"/>
                <w:szCs w:val="24"/>
              </w:rPr>
              <w:t>13</w:t>
            </w:r>
            <w:r w:rsidRPr="00A902AE">
              <w:rPr>
                <w:rFonts w:ascii="Arial" w:hAnsi="Arial" w:cs="Arial"/>
                <w:noProof/>
                <w:webHidden/>
                <w:color w:val="000000" w:themeColor="text1"/>
                <w:sz w:val="24"/>
                <w:szCs w:val="24"/>
              </w:rPr>
              <w:fldChar w:fldCharType="end"/>
            </w:r>
          </w:hyperlink>
        </w:p>
        <w:p w14:paraId="03A45DAA" w14:textId="2A16500D" w:rsidR="009F2C13" w:rsidRPr="00DB02E1" w:rsidRDefault="009F2C13">
          <w:pPr>
            <w:rPr>
              <w:color w:val="000000" w:themeColor="text1"/>
            </w:rPr>
          </w:pPr>
          <w:r w:rsidRPr="00A902AE">
            <w:rPr>
              <w:b/>
              <w:bCs/>
              <w:noProof/>
              <w:color w:val="000000" w:themeColor="text1"/>
            </w:rPr>
            <w:fldChar w:fldCharType="end"/>
          </w:r>
        </w:p>
      </w:sdtContent>
    </w:sdt>
    <w:p w14:paraId="37134A2E" w14:textId="574EAA2F" w:rsidR="00DD443C" w:rsidRPr="00DC78A6" w:rsidRDefault="00DD443C">
      <w:pPr>
        <w:spacing w:line="240" w:lineRule="auto"/>
        <w:rPr>
          <w:b/>
          <w:color w:val="auto"/>
          <w:sz w:val="28"/>
          <w:szCs w:val="22"/>
        </w:rPr>
      </w:pPr>
      <w:r w:rsidRPr="00DC78A6">
        <w:rPr>
          <w:color w:val="auto"/>
        </w:rPr>
        <w:br w:type="page"/>
      </w:r>
    </w:p>
    <w:p w14:paraId="7A119E60" w14:textId="33237877" w:rsidR="00824982" w:rsidRPr="00DC78A6" w:rsidRDefault="00BE1D7D" w:rsidP="00AE286E">
      <w:pPr>
        <w:pStyle w:val="Heading1"/>
      </w:pPr>
      <w:bookmarkStart w:id="0" w:name="_Toc146097535"/>
      <w:r w:rsidRPr="00DC78A6">
        <w:t>I</w:t>
      </w:r>
      <w:r w:rsidR="00E91015" w:rsidRPr="00DC78A6">
        <w:t>ntroduction</w:t>
      </w:r>
      <w:bookmarkEnd w:id="0"/>
    </w:p>
    <w:p w14:paraId="516DE502" w14:textId="1B9AFEC3" w:rsidR="008E4352" w:rsidRPr="008E4352" w:rsidRDefault="008E4352" w:rsidP="00C07CD4">
      <w:pPr>
        <w:spacing w:line="240" w:lineRule="auto"/>
        <w:ind w:left="425"/>
        <w:jc w:val="both"/>
        <w:rPr>
          <w:color w:val="auto"/>
        </w:rPr>
      </w:pPr>
      <w:r w:rsidRPr="008E4352">
        <w:rPr>
          <w:color w:val="auto"/>
        </w:rPr>
        <w:t>Humber and North Yorkshire</w:t>
      </w:r>
      <w:r w:rsidR="00BE540D">
        <w:rPr>
          <w:color w:val="auto"/>
        </w:rPr>
        <w:t xml:space="preserve"> (HNY)</w:t>
      </w:r>
      <w:r w:rsidRPr="008E4352">
        <w:rPr>
          <w:color w:val="auto"/>
        </w:rPr>
        <w:t xml:space="preserve"> Integrated Care Board (ICB) has a statutory responsibility for commissioning services, including medicines and other treatments, for the population it serves within available resources and by prioritising between competing demands. As part of these duties, there is a need to commission services which are evidence based, cost effective, improve health outcomes</w:t>
      </w:r>
      <w:r w:rsidR="009D2DB2">
        <w:rPr>
          <w:color w:val="auto"/>
        </w:rPr>
        <w:t xml:space="preserve"> and </w:t>
      </w:r>
      <w:r w:rsidRPr="008E4352">
        <w:rPr>
          <w:color w:val="auto"/>
        </w:rPr>
        <w:t>reduce health inequalities</w:t>
      </w:r>
      <w:r w:rsidR="009D2DB2">
        <w:rPr>
          <w:color w:val="auto"/>
        </w:rPr>
        <w:t>.</w:t>
      </w:r>
    </w:p>
    <w:p w14:paraId="7FF74EA5" w14:textId="77777777" w:rsidR="008E4352" w:rsidRPr="008E4352" w:rsidRDefault="008E4352" w:rsidP="00C07CD4">
      <w:pPr>
        <w:pStyle w:val="ListParagraph"/>
        <w:spacing w:line="240" w:lineRule="auto"/>
        <w:ind w:left="425"/>
        <w:jc w:val="both"/>
        <w:rPr>
          <w:color w:val="auto"/>
        </w:rPr>
      </w:pPr>
    </w:p>
    <w:p w14:paraId="3E1547E1" w14:textId="4EDA11F8" w:rsidR="00C07CD4" w:rsidRDefault="008E4352" w:rsidP="00C07CD4">
      <w:pPr>
        <w:spacing w:line="240" w:lineRule="auto"/>
        <w:ind w:left="425"/>
        <w:jc w:val="both"/>
        <w:rPr>
          <w:color w:val="auto"/>
        </w:rPr>
      </w:pPr>
      <w:r w:rsidRPr="008E4352">
        <w:rPr>
          <w:color w:val="auto"/>
        </w:rPr>
        <w:t xml:space="preserve">The </w:t>
      </w:r>
      <w:r w:rsidR="00A837B7">
        <w:rPr>
          <w:color w:val="auto"/>
        </w:rPr>
        <w:t>I</w:t>
      </w:r>
      <w:r w:rsidRPr="008E4352">
        <w:rPr>
          <w:color w:val="auto"/>
        </w:rPr>
        <w:t xml:space="preserve">ndividual </w:t>
      </w:r>
      <w:r w:rsidR="00A837B7">
        <w:rPr>
          <w:color w:val="auto"/>
        </w:rPr>
        <w:t>F</w:t>
      </w:r>
      <w:r w:rsidRPr="008E4352">
        <w:rPr>
          <w:color w:val="auto"/>
        </w:rPr>
        <w:t xml:space="preserve">unding </w:t>
      </w:r>
      <w:r w:rsidR="00A837B7">
        <w:rPr>
          <w:color w:val="auto"/>
        </w:rPr>
        <w:t>R</w:t>
      </w:r>
      <w:r w:rsidRPr="008E4352">
        <w:rPr>
          <w:color w:val="auto"/>
        </w:rPr>
        <w:t xml:space="preserve">equest </w:t>
      </w:r>
      <w:r w:rsidR="00A837B7">
        <w:rPr>
          <w:color w:val="auto"/>
        </w:rPr>
        <w:t xml:space="preserve">(IFR) </w:t>
      </w:r>
      <w:r w:rsidRPr="008E4352">
        <w:rPr>
          <w:color w:val="auto"/>
        </w:rPr>
        <w:t>policy has been developed in response to the legal duties set out in the NHS Constitution (DH, March 2013) (ref 12.3), which identifies two patient rights specifically related to the availability of medicines and other treatments i.e.:</w:t>
      </w:r>
    </w:p>
    <w:p w14:paraId="692EC2D1" w14:textId="77777777" w:rsidR="00C07CD4" w:rsidRDefault="00C07CD4" w:rsidP="00C07CD4">
      <w:pPr>
        <w:spacing w:line="240" w:lineRule="auto"/>
        <w:ind w:left="425"/>
        <w:jc w:val="both"/>
        <w:rPr>
          <w:color w:val="auto"/>
        </w:rPr>
      </w:pPr>
    </w:p>
    <w:p w14:paraId="38C3C628" w14:textId="77777777" w:rsidR="00C07CD4" w:rsidRDefault="008E4352" w:rsidP="001037B4">
      <w:pPr>
        <w:pStyle w:val="ListParagraph"/>
        <w:numPr>
          <w:ilvl w:val="0"/>
          <w:numId w:val="9"/>
        </w:numPr>
        <w:spacing w:line="240" w:lineRule="auto"/>
        <w:jc w:val="both"/>
        <w:rPr>
          <w:color w:val="auto"/>
        </w:rPr>
      </w:pPr>
      <w:r w:rsidRPr="00C07CD4">
        <w:rPr>
          <w:color w:val="auto"/>
        </w:rPr>
        <w:t>You have the right to drugs and treatments that have been recommended by NICE for use in the NHS if your doctor says they are clinically appropriate for you.</w:t>
      </w:r>
    </w:p>
    <w:p w14:paraId="2AF7B895" w14:textId="4C4972BE" w:rsidR="008E4352" w:rsidRPr="00C07CD4" w:rsidRDefault="008E4352" w:rsidP="001037B4">
      <w:pPr>
        <w:pStyle w:val="ListParagraph"/>
        <w:numPr>
          <w:ilvl w:val="0"/>
          <w:numId w:val="9"/>
        </w:numPr>
        <w:spacing w:line="240" w:lineRule="auto"/>
        <w:jc w:val="both"/>
        <w:rPr>
          <w:color w:val="auto"/>
        </w:rPr>
      </w:pPr>
      <w:r w:rsidRPr="00C07CD4">
        <w:rPr>
          <w:color w:val="auto"/>
        </w:rPr>
        <w:t>You have the right to expect local decisions on funding of other drugs and treatments to be made rationally following a proper consideration of the evidence. If the local NHS decides not to fund a drug or treatment you and your doctor feel would be right for you, they will explain that decision to you.</w:t>
      </w:r>
    </w:p>
    <w:p w14:paraId="7C710165" w14:textId="77777777" w:rsidR="008E4352" w:rsidRPr="008E4352" w:rsidRDefault="008E4352" w:rsidP="00C07CD4">
      <w:pPr>
        <w:pStyle w:val="ListParagraph"/>
        <w:spacing w:line="240" w:lineRule="auto"/>
        <w:ind w:left="425"/>
        <w:jc w:val="both"/>
        <w:rPr>
          <w:color w:val="auto"/>
        </w:rPr>
      </w:pPr>
    </w:p>
    <w:p w14:paraId="164F74A8" w14:textId="77777777" w:rsidR="008E4352" w:rsidRPr="008E4352" w:rsidRDefault="008E4352" w:rsidP="00C07CD4">
      <w:pPr>
        <w:spacing w:line="240" w:lineRule="auto"/>
        <w:ind w:left="425"/>
        <w:jc w:val="both"/>
        <w:rPr>
          <w:color w:val="auto"/>
        </w:rPr>
      </w:pPr>
      <w:r w:rsidRPr="008E4352">
        <w:rPr>
          <w:color w:val="auto"/>
        </w:rPr>
        <w:t>Whilst most of the service provision is commissioned through established service agreements with providers, there are occasions when services are excluded or not routinely available within the NHS.</w:t>
      </w:r>
    </w:p>
    <w:p w14:paraId="013B1957" w14:textId="77777777" w:rsidR="008E4352" w:rsidRPr="008E4352" w:rsidRDefault="008E4352" w:rsidP="00C07CD4">
      <w:pPr>
        <w:pStyle w:val="ListParagraph"/>
        <w:spacing w:line="240" w:lineRule="auto"/>
        <w:ind w:left="425"/>
        <w:jc w:val="both"/>
        <w:rPr>
          <w:color w:val="auto"/>
        </w:rPr>
      </w:pPr>
    </w:p>
    <w:p w14:paraId="3D3390C2" w14:textId="7548022E" w:rsidR="00C07CD4" w:rsidRDefault="008E4352" w:rsidP="00C07CD4">
      <w:pPr>
        <w:spacing w:line="240" w:lineRule="auto"/>
        <w:ind w:left="425"/>
        <w:jc w:val="both"/>
        <w:rPr>
          <w:color w:val="auto"/>
        </w:rPr>
      </w:pPr>
      <w:r w:rsidRPr="008E4352">
        <w:rPr>
          <w:color w:val="auto"/>
        </w:rPr>
        <w:t xml:space="preserve">An </w:t>
      </w:r>
      <w:r w:rsidR="001518A6">
        <w:rPr>
          <w:color w:val="auto"/>
        </w:rPr>
        <w:t>IFR</w:t>
      </w:r>
      <w:r w:rsidRPr="008E4352">
        <w:rPr>
          <w:color w:val="auto"/>
        </w:rPr>
        <w:t xml:space="preserve"> is a request received from a clinician or healthcare professional providing care to a patient where a specific treatment, intervention or procedure is requested that:</w:t>
      </w:r>
    </w:p>
    <w:p w14:paraId="4D6A78C7" w14:textId="0D873B46" w:rsidR="00C07CD4" w:rsidRDefault="008E4352" w:rsidP="001037B4">
      <w:pPr>
        <w:pStyle w:val="ListParagraph"/>
        <w:numPr>
          <w:ilvl w:val="3"/>
          <w:numId w:val="8"/>
        </w:numPr>
        <w:spacing w:line="240" w:lineRule="auto"/>
        <w:jc w:val="both"/>
        <w:rPr>
          <w:color w:val="auto"/>
        </w:rPr>
      </w:pPr>
      <w:r w:rsidRPr="00C07CD4">
        <w:rPr>
          <w:color w:val="auto"/>
        </w:rPr>
        <w:t xml:space="preserve">is not </w:t>
      </w:r>
      <w:r w:rsidR="00272CA8">
        <w:rPr>
          <w:color w:val="auto"/>
        </w:rPr>
        <w:t xml:space="preserve">already routinely </w:t>
      </w:r>
      <w:r w:rsidRPr="00C07CD4">
        <w:rPr>
          <w:color w:val="auto"/>
        </w:rPr>
        <w:t xml:space="preserve">commissioned and </w:t>
      </w:r>
      <w:r w:rsidR="00272CA8">
        <w:rPr>
          <w:color w:val="auto"/>
        </w:rPr>
        <w:t xml:space="preserve">is </w:t>
      </w:r>
      <w:r w:rsidRPr="00C07CD4">
        <w:rPr>
          <w:color w:val="auto"/>
        </w:rPr>
        <w:t>not covered by existing policy; or</w:t>
      </w:r>
    </w:p>
    <w:p w14:paraId="39766F99" w14:textId="2D3FD488" w:rsidR="00774A35" w:rsidRDefault="00272CA8" w:rsidP="001037B4">
      <w:pPr>
        <w:pStyle w:val="ListParagraph"/>
        <w:numPr>
          <w:ilvl w:val="3"/>
          <w:numId w:val="8"/>
        </w:numPr>
        <w:spacing w:line="240" w:lineRule="auto"/>
        <w:jc w:val="both"/>
        <w:rPr>
          <w:color w:val="auto"/>
        </w:rPr>
      </w:pPr>
      <w:r>
        <w:rPr>
          <w:color w:val="auto"/>
        </w:rPr>
        <w:t>T</w:t>
      </w:r>
      <w:r w:rsidR="008E4352" w:rsidRPr="00C07CD4">
        <w:rPr>
          <w:color w:val="auto"/>
        </w:rPr>
        <w:t xml:space="preserve">here is a policy to commission an intervention, </w:t>
      </w:r>
      <w:r>
        <w:rPr>
          <w:color w:val="auto"/>
        </w:rPr>
        <w:t xml:space="preserve">but </w:t>
      </w:r>
      <w:r w:rsidR="008E4352" w:rsidRPr="00C07CD4">
        <w:rPr>
          <w:color w:val="auto"/>
        </w:rPr>
        <w:t xml:space="preserve">the patient does not meet </w:t>
      </w:r>
      <w:r>
        <w:rPr>
          <w:color w:val="auto"/>
        </w:rPr>
        <w:t xml:space="preserve">the </w:t>
      </w:r>
      <w:r w:rsidR="008E4352" w:rsidRPr="00C07CD4">
        <w:rPr>
          <w:color w:val="auto"/>
        </w:rPr>
        <w:t>clinical criteria</w:t>
      </w:r>
      <w:r w:rsidR="00774A35">
        <w:rPr>
          <w:color w:val="auto"/>
        </w:rPr>
        <w:t xml:space="preserve"> </w:t>
      </w:r>
      <w:r w:rsidR="008E4352" w:rsidRPr="00774A35">
        <w:rPr>
          <w:color w:val="auto"/>
        </w:rPr>
        <w:t>and</w:t>
      </w:r>
      <w:r w:rsidR="00B901AA">
        <w:rPr>
          <w:color w:val="auto"/>
        </w:rPr>
        <w:t xml:space="preserve"> in the policy</w:t>
      </w:r>
    </w:p>
    <w:p w14:paraId="71CC8A9E" w14:textId="44CD6376" w:rsidR="008E4352" w:rsidRPr="00774A35" w:rsidRDefault="00B901AA" w:rsidP="001037B4">
      <w:pPr>
        <w:pStyle w:val="ListParagraph"/>
        <w:numPr>
          <w:ilvl w:val="3"/>
          <w:numId w:val="8"/>
        </w:numPr>
        <w:spacing w:line="240" w:lineRule="auto"/>
        <w:jc w:val="both"/>
        <w:rPr>
          <w:color w:val="auto"/>
        </w:rPr>
      </w:pPr>
      <w:r>
        <w:rPr>
          <w:color w:val="auto"/>
        </w:rPr>
        <w:t>T</w:t>
      </w:r>
      <w:r w:rsidR="008E4352" w:rsidRPr="00774A35">
        <w:rPr>
          <w:color w:val="auto"/>
        </w:rPr>
        <w:t xml:space="preserve">he </w:t>
      </w:r>
      <w:r>
        <w:rPr>
          <w:color w:val="auto"/>
        </w:rPr>
        <w:t xml:space="preserve">requesting </w:t>
      </w:r>
      <w:r w:rsidR="008E4352" w:rsidRPr="00774A35">
        <w:rPr>
          <w:color w:val="auto"/>
        </w:rPr>
        <w:t xml:space="preserve">clinician </w:t>
      </w:r>
      <w:r>
        <w:rPr>
          <w:color w:val="auto"/>
        </w:rPr>
        <w:t xml:space="preserve">thinks they </w:t>
      </w:r>
      <w:r w:rsidR="008E4352" w:rsidRPr="00774A35">
        <w:rPr>
          <w:color w:val="auto"/>
        </w:rPr>
        <w:t>can demonstrate exceptionality</w:t>
      </w:r>
    </w:p>
    <w:p w14:paraId="44658BBF" w14:textId="77777777" w:rsidR="00E91015" w:rsidRPr="00DC78A6" w:rsidRDefault="00E91015" w:rsidP="00846B0C">
      <w:pPr>
        <w:rPr>
          <w:color w:val="auto"/>
        </w:rPr>
      </w:pPr>
    </w:p>
    <w:p w14:paraId="3D6CB5D4" w14:textId="457226D2" w:rsidR="008C26B8" w:rsidRPr="00DC78A6" w:rsidRDefault="00E91015" w:rsidP="00AE286E">
      <w:pPr>
        <w:pStyle w:val="Heading1"/>
      </w:pPr>
      <w:bookmarkStart w:id="1" w:name="_Toc146097536"/>
      <w:r w:rsidRPr="00DC78A6">
        <w:t>Purpose</w:t>
      </w:r>
      <w:bookmarkEnd w:id="1"/>
    </w:p>
    <w:p w14:paraId="4CAB2FF5" w14:textId="241B1565" w:rsidR="00BE4A61" w:rsidRPr="00BE4A61" w:rsidRDefault="00BE4A61" w:rsidP="00AF682A">
      <w:pPr>
        <w:spacing w:line="240" w:lineRule="auto"/>
        <w:ind w:left="425"/>
        <w:jc w:val="both"/>
        <w:rPr>
          <w:color w:val="auto"/>
        </w:rPr>
      </w:pPr>
      <w:r w:rsidRPr="00BE4A61">
        <w:rPr>
          <w:color w:val="auto"/>
        </w:rPr>
        <w:t xml:space="preserve">The </w:t>
      </w:r>
      <w:r w:rsidR="001518A6">
        <w:rPr>
          <w:color w:val="auto"/>
        </w:rPr>
        <w:t>IFR</w:t>
      </w:r>
      <w:r w:rsidRPr="00BE4A61">
        <w:rPr>
          <w:color w:val="auto"/>
        </w:rPr>
        <w:t xml:space="preserve"> process provides a mechanism to allow medicines / treatments that are not routinely commissioned by the ICB to be considered for individuals in exceptional circumstances. It also provides a framework for officers of the Humber and North Yorkshire ICB to exercise their responsibilities properly and implementing the policy ensures that commissioning decisions in relation to </w:t>
      </w:r>
      <w:r w:rsidR="003B0C73">
        <w:rPr>
          <w:color w:val="auto"/>
        </w:rPr>
        <w:t>IFRs</w:t>
      </w:r>
      <w:r w:rsidRPr="00BE4A61">
        <w:rPr>
          <w:color w:val="auto"/>
        </w:rPr>
        <w:t xml:space="preserve"> are consistent and not taken in an ad-hoc manner without due regard to equitable access and good governance arrangements. Decisions are based on best evidence but made within the funding allocation of each ICB.</w:t>
      </w:r>
    </w:p>
    <w:p w14:paraId="5E5B9D9F" w14:textId="77777777" w:rsidR="00BE4A61" w:rsidRPr="00BE4A61" w:rsidRDefault="00BE4A61" w:rsidP="00AF682A">
      <w:pPr>
        <w:spacing w:line="240" w:lineRule="auto"/>
        <w:ind w:left="425"/>
        <w:jc w:val="both"/>
        <w:rPr>
          <w:color w:val="auto"/>
        </w:rPr>
      </w:pPr>
    </w:p>
    <w:p w14:paraId="48840FEF" w14:textId="205B8587" w:rsidR="00BE4A61" w:rsidRDefault="00BE4A61" w:rsidP="00AF682A">
      <w:pPr>
        <w:spacing w:line="240" w:lineRule="auto"/>
        <w:ind w:left="425"/>
        <w:jc w:val="both"/>
        <w:rPr>
          <w:color w:val="auto"/>
        </w:rPr>
      </w:pPr>
      <w:r w:rsidRPr="00BE4A61">
        <w:rPr>
          <w:color w:val="auto"/>
        </w:rPr>
        <w:t xml:space="preserve">The purpose of the </w:t>
      </w:r>
      <w:r w:rsidR="003B0C73">
        <w:rPr>
          <w:color w:val="auto"/>
        </w:rPr>
        <w:t>IFR</w:t>
      </w:r>
      <w:r w:rsidRPr="00BE4A61">
        <w:rPr>
          <w:color w:val="auto"/>
        </w:rPr>
        <w:t xml:space="preserve"> policy is to:</w:t>
      </w:r>
    </w:p>
    <w:p w14:paraId="43F384EE" w14:textId="77777777" w:rsidR="00BE4A61" w:rsidRDefault="00BE4A61" w:rsidP="001037B4">
      <w:pPr>
        <w:pStyle w:val="ListParagraph"/>
        <w:numPr>
          <w:ilvl w:val="0"/>
          <w:numId w:val="10"/>
        </w:numPr>
        <w:spacing w:line="240" w:lineRule="auto"/>
        <w:jc w:val="both"/>
        <w:rPr>
          <w:color w:val="auto"/>
        </w:rPr>
      </w:pPr>
      <w:r w:rsidRPr="00BE4A61">
        <w:rPr>
          <w:color w:val="auto"/>
        </w:rPr>
        <w:t>set the decision-making process within an ethical context and to demonstrate a clear process for decision making.</w:t>
      </w:r>
    </w:p>
    <w:p w14:paraId="7D9A7777" w14:textId="77777777" w:rsidR="00BE4A61" w:rsidRDefault="00BE4A61" w:rsidP="001037B4">
      <w:pPr>
        <w:pStyle w:val="ListParagraph"/>
        <w:numPr>
          <w:ilvl w:val="0"/>
          <w:numId w:val="10"/>
        </w:numPr>
        <w:spacing w:line="240" w:lineRule="auto"/>
        <w:jc w:val="both"/>
        <w:rPr>
          <w:color w:val="auto"/>
        </w:rPr>
      </w:pPr>
      <w:r w:rsidRPr="00BE4A61">
        <w:rPr>
          <w:color w:val="auto"/>
        </w:rPr>
        <w:t>inform health professionals about the policy in operation and how to request restricted treatments or appeal against individual decisions to decline a request for a restricted treatment.</w:t>
      </w:r>
    </w:p>
    <w:p w14:paraId="6C80701B" w14:textId="77777777" w:rsidR="00BE4A61" w:rsidRDefault="00BE4A61" w:rsidP="001037B4">
      <w:pPr>
        <w:pStyle w:val="ListParagraph"/>
        <w:numPr>
          <w:ilvl w:val="0"/>
          <w:numId w:val="10"/>
        </w:numPr>
        <w:spacing w:line="240" w:lineRule="auto"/>
        <w:jc w:val="both"/>
        <w:rPr>
          <w:color w:val="auto"/>
        </w:rPr>
      </w:pPr>
      <w:r w:rsidRPr="00BE4A61">
        <w:rPr>
          <w:color w:val="auto"/>
        </w:rPr>
        <w:t>ensure decisions are made in a fair, open, transparent, and consistent manner.</w:t>
      </w:r>
    </w:p>
    <w:p w14:paraId="1CBA6686" w14:textId="5DE670C0" w:rsidR="00BE4A61" w:rsidRPr="00BE4A61" w:rsidRDefault="00BE4A61" w:rsidP="001037B4">
      <w:pPr>
        <w:pStyle w:val="ListParagraph"/>
        <w:numPr>
          <w:ilvl w:val="0"/>
          <w:numId w:val="10"/>
        </w:numPr>
        <w:spacing w:line="240" w:lineRule="auto"/>
        <w:jc w:val="both"/>
        <w:rPr>
          <w:color w:val="auto"/>
        </w:rPr>
      </w:pPr>
      <w:r w:rsidRPr="00BE4A61">
        <w:rPr>
          <w:color w:val="auto"/>
        </w:rPr>
        <w:t>provide a firm and robust background against which appeals can be judged.</w:t>
      </w:r>
    </w:p>
    <w:p w14:paraId="0E885059" w14:textId="77777777" w:rsidR="00DD443C" w:rsidRDefault="00DD443C" w:rsidP="00DD443C">
      <w:pPr>
        <w:ind w:left="432"/>
        <w:rPr>
          <w:color w:val="auto"/>
        </w:rPr>
      </w:pPr>
    </w:p>
    <w:p w14:paraId="12F35D31" w14:textId="77777777" w:rsidR="002C792A" w:rsidRDefault="002C792A" w:rsidP="00DD443C">
      <w:pPr>
        <w:ind w:left="432"/>
        <w:rPr>
          <w:color w:val="auto"/>
        </w:rPr>
      </w:pPr>
    </w:p>
    <w:p w14:paraId="713A3BFB" w14:textId="77777777" w:rsidR="00E45AF1" w:rsidRDefault="00E45AF1" w:rsidP="00DD443C">
      <w:pPr>
        <w:ind w:left="432"/>
        <w:rPr>
          <w:color w:val="auto"/>
        </w:rPr>
      </w:pPr>
    </w:p>
    <w:p w14:paraId="7CE6AA87" w14:textId="77777777" w:rsidR="00846B0C" w:rsidRPr="00DC78A6" w:rsidRDefault="00846B0C" w:rsidP="00DD443C">
      <w:pPr>
        <w:ind w:left="432"/>
        <w:rPr>
          <w:color w:val="auto"/>
        </w:rPr>
      </w:pPr>
    </w:p>
    <w:p w14:paraId="1E7F2101" w14:textId="2F2B2060" w:rsidR="00F8093B" w:rsidRPr="00DC78A6" w:rsidRDefault="00E91015" w:rsidP="00483A85">
      <w:pPr>
        <w:pStyle w:val="Heading1"/>
        <w:ind w:left="856" w:hanging="431"/>
      </w:pPr>
      <w:bookmarkStart w:id="2" w:name="_Toc146097537"/>
      <w:r w:rsidRPr="00DC78A6">
        <w:t>Definition</w:t>
      </w:r>
      <w:bookmarkEnd w:id="2"/>
      <w:r w:rsidR="00D35F1F">
        <w:t xml:space="preserve">s </w:t>
      </w:r>
    </w:p>
    <w:p w14:paraId="5D1CDDA0" w14:textId="1DCCFF4F" w:rsidR="00313C4E" w:rsidRDefault="00AF682A" w:rsidP="000E5258">
      <w:pPr>
        <w:spacing w:line="240" w:lineRule="auto"/>
        <w:ind w:left="425"/>
        <w:jc w:val="both"/>
        <w:rPr>
          <w:color w:val="auto"/>
        </w:rPr>
      </w:pPr>
      <w:r w:rsidRPr="000E5258">
        <w:rPr>
          <w:color w:val="auto"/>
        </w:rPr>
        <w:t xml:space="preserve">A glossary to this policy can be found on page </w:t>
      </w:r>
      <w:r w:rsidR="00FB1F60">
        <w:rPr>
          <w:color w:val="auto"/>
        </w:rPr>
        <w:t>14</w:t>
      </w:r>
      <w:r w:rsidRPr="000E5258">
        <w:rPr>
          <w:color w:val="auto"/>
        </w:rPr>
        <w:t xml:space="preserve">. It provides definitions of terms used within the policy and defines roles and responsibilities of key individuals and groups in delivery of the policy within </w:t>
      </w:r>
      <w:r w:rsidR="00970BAD">
        <w:rPr>
          <w:color w:val="auto"/>
        </w:rPr>
        <w:t>HNY</w:t>
      </w:r>
      <w:r w:rsidRPr="000E5258">
        <w:rPr>
          <w:color w:val="auto"/>
        </w:rPr>
        <w:t xml:space="preserve"> ICB</w:t>
      </w:r>
      <w:r w:rsidR="00BC5493">
        <w:rPr>
          <w:color w:val="auto"/>
        </w:rPr>
        <w:t>.</w:t>
      </w:r>
    </w:p>
    <w:p w14:paraId="695D6995" w14:textId="77777777" w:rsidR="00642E31" w:rsidRDefault="00642E31" w:rsidP="000E5258">
      <w:pPr>
        <w:spacing w:line="240" w:lineRule="auto"/>
        <w:ind w:left="425"/>
        <w:jc w:val="both"/>
        <w:rPr>
          <w:color w:val="auto"/>
        </w:rPr>
      </w:pPr>
    </w:p>
    <w:p w14:paraId="13C2B1C1" w14:textId="77777777" w:rsidR="00447C5B" w:rsidRPr="003C6F6A" w:rsidRDefault="00642E31" w:rsidP="000E5258">
      <w:pPr>
        <w:spacing w:line="240" w:lineRule="auto"/>
        <w:ind w:left="425"/>
        <w:jc w:val="both"/>
        <w:rPr>
          <w:color w:val="auto"/>
          <w:shd w:val="clear" w:color="auto" w:fill="FFFFFF"/>
        </w:rPr>
      </w:pPr>
      <w:r w:rsidRPr="003C6F6A">
        <w:rPr>
          <w:b/>
          <w:bCs/>
          <w:color w:val="auto"/>
          <w:shd w:val="clear" w:color="auto" w:fill="FFFFFF"/>
        </w:rPr>
        <w:t>Individual Funding Requests (IFR)</w:t>
      </w:r>
      <w:r w:rsidRPr="003C6F6A">
        <w:rPr>
          <w:color w:val="auto"/>
          <w:shd w:val="clear" w:color="auto" w:fill="FFFFFF"/>
        </w:rPr>
        <w:t xml:space="preserve"> – IFRs include both Exceptional and Individual Cases. The ICB will only provide funding in response to an IFR, if it is satisfied that the case meets the following criteria: </w:t>
      </w:r>
    </w:p>
    <w:p w14:paraId="0562E3F3" w14:textId="77777777" w:rsidR="00447C5B" w:rsidRPr="003C6F6A" w:rsidRDefault="00642E31" w:rsidP="001037B4">
      <w:pPr>
        <w:pStyle w:val="ListParagraph"/>
        <w:numPr>
          <w:ilvl w:val="0"/>
          <w:numId w:val="11"/>
        </w:numPr>
        <w:spacing w:line="240" w:lineRule="auto"/>
        <w:jc w:val="both"/>
        <w:rPr>
          <w:color w:val="auto"/>
          <w:shd w:val="clear" w:color="auto" w:fill="FFFFFF"/>
        </w:rPr>
      </w:pPr>
      <w:r w:rsidRPr="003C6F6A">
        <w:rPr>
          <w:color w:val="auto"/>
          <w:shd w:val="clear" w:color="auto" w:fill="FFFFFF"/>
        </w:rPr>
        <w:t xml:space="preserve">There is evidence that the patient presents with exceptional clinical circumstances, that is either:  </w:t>
      </w:r>
    </w:p>
    <w:p w14:paraId="7AFE4989" w14:textId="484A5162" w:rsidR="003C6F6A" w:rsidRPr="003C6F6A" w:rsidRDefault="00642E31" w:rsidP="001037B4">
      <w:pPr>
        <w:pStyle w:val="ListParagraph"/>
        <w:numPr>
          <w:ilvl w:val="1"/>
          <w:numId w:val="11"/>
        </w:numPr>
        <w:spacing w:line="240" w:lineRule="auto"/>
        <w:jc w:val="both"/>
        <w:rPr>
          <w:color w:val="auto"/>
          <w:shd w:val="clear" w:color="auto" w:fill="FFFFFF"/>
        </w:rPr>
      </w:pPr>
      <w:r w:rsidRPr="003C6F6A">
        <w:rPr>
          <w:b/>
          <w:bCs/>
          <w:color w:val="auto"/>
          <w:shd w:val="clear" w:color="auto" w:fill="FFFFFF"/>
        </w:rPr>
        <w:t>An exceptional case</w:t>
      </w:r>
      <w:r w:rsidRPr="003C6F6A">
        <w:rPr>
          <w:color w:val="auto"/>
          <w:shd w:val="clear" w:color="auto" w:fill="FFFFFF"/>
        </w:rPr>
        <w:t xml:space="preserve"> - </w:t>
      </w:r>
      <w:r w:rsidR="001F3B2B" w:rsidRPr="00AD396B">
        <w:rPr>
          <w:color w:val="auto"/>
          <w:shd w:val="clear" w:color="auto" w:fill="FFFFFF"/>
        </w:rPr>
        <w:t xml:space="preserve">Exceptional’ in IFR terms means a person to whom the general </w:t>
      </w:r>
      <w:r w:rsidR="001F3B2B">
        <w:rPr>
          <w:color w:val="auto"/>
          <w:shd w:val="clear" w:color="auto" w:fill="FFFFFF"/>
        </w:rPr>
        <w:t>policy</w:t>
      </w:r>
      <w:r w:rsidR="001F3B2B" w:rsidRPr="00AD396B">
        <w:rPr>
          <w:color w:val="auto"/>
          <w:shd w:val="clear" w:color="auto" w:fill="FFFFFF"/>
        </w:rPr>
        <w:t xml:space="preserve"> should not apply. This implies that there is likely to be something about their clinical situation which was not considered when formulating the </w:t>
      </w:r>
      <w:r w:rsidR="001F3B2B">
        <w:rPr>
          <w:color w:val="auto"/>
          <w:shd w:val="clear" w:color="auto" w:fill="FFFFFF"/>
        </w:rPr>
        <w:t>policy</w:t>
      </w:r>
      <w:r w:rsidR="001F3B2B" w:rsidRPr="00AD396B">
        <w:rPr>
          <w:color w:val="auto"/>
          <w:shd w:val="clear" w:color="auto" w:fill="FFFFFF"/>
        </w:rPr>
        <w:t>. Very few patients have clinical circumstances which are genuinely exceptional. To</w:t>
      </w:r>
      <w:r w:rsidR="001F3B2B">
        <w:rPr>
          <w:color w:val="auto"/>
          <w:shd w:val="clear" w:color="auto" w:fill="FFFFFF"/>
        </w:rPr>
        <w:t xml:space="preserve"> </w:t>
      </w:r>
      <w:r w:rsidR="001F3B2B" w:rsidRPr="00AD396B">
        <w:rPr>
          <w:color w:val="auto"/>
          <w:shd w:val="clear" w:color="auto" w:fill="FFFFFF"/>
        </w:rPr>
        <w:t>justify funding for treatment for a patient which is not available to other patients, and is not part of the established care pathway, the IFR Panel needs to be satisfied that the clinician has demonstrated that this patient’s individual clinical circumstances are clearly different to those of other patients, and that because of this difference, the general polic</w:t>
      </w:r>
      <w:r w:rsidR="001F3B2B">
        <w:rPr>
          <w:color w:val="auto"/>
          <w:shd w:val="clear" w:color="auto" w:fill="FFFFFF"/>
        </w:rPr>
        <w:t>y</w:t>
      </w:r>
      <w:r w:rsidR="001F3B2B" w:rsidRPr="00AD396B">
        <w:rPr>
          <w:color w:val="auto"/>
          <w:shd w:val="clear" w:color="auto" w:fill="FFFFFF"/>
        </w:rPr>
        <w:t xml:space="preserve"> should not be applied</w:t>
      </w:r>
      <w:r w:rsidR="00EE1CD1">
        <w:rPr>
          <w:color w:val="auto"/>
          <w:shd w:val="clear" w:color="auto" w:fill="FFFFFF"/>
        </w:rPr>
        <w:t xml:space="preserve"> </w:t>
      </w:r>
      <w:r w:rsidR="00EE1CD1" w:rsidRPr="00C93EB2">
        <w:rPr>
          <w:color w:val="auto"/>
          <w:shd w:val="clear" w:color="auto" w:fill="FFFFFF"/>
        </w:rPr>
        <w:t>or that this patient's individual circumstances are sufficiently uncommon that they were not considered when the policy was developed</w:t>
      </w:r>
      <w:r w:rsidR="001F3B2B" w:rsidRPr="00C93EB2">
        <w:rPr>
          <w:color w:val="auto"/>
          <w:shd w:val="clear" w:color="auto" w:fill="FFFFFF"/>
        </w:rPr>
        <w:t>.</w:t>
      </w:r>
      <w:r w:rsidR="001F3B2B" w:rsidRPr="00AD396B">
        <w:rPr>
          <w:color w:val="auto"/>
          <w:shd w:val="clear" w:color="auto" w:fill="FFFFFF"/>
        </w:rPr>
        <w:t xml:space="preserve"> Simply put, the consideration is whether it is fair to fund this patient’s treatment when the treatment is not available to others. It should be stressed that an IFR is not a route to "have another look" at the </w:t>
      </w:r>
      <w:r w:rsidR="001F3B2B">
        <w:rPr>
          <w:color w:val="auto"/>
          <w:shd w:val="clear" w:color="auto" w:fill="FFFFFF"/>
        </w:rPr>
        <w:t>policy</w:t>
      </w:r>
      <w:r w:rsidR="001F3B2B" w:rsidRPr="00AD396B">
        <w:rPr>
          <w:color w:val="auto"/>
          <w:shd w:val="clear" w:color="auto" w:fill="FFFFFF"/>
        </w:rPr>
        <w:t xml:space="preserve">, or to protest that the </w:t>
      </w:r>
      <w:r w:rsidR="001F3B2B">
        <w:rPr>
          <w:color w:val="auto"/>
          <w:shd w:val="clear" w:color="auto" w:fill="FFFFFF"/>
        </w:rPr>
        <w:t>policy</w:t>
      </w:r>
      <w:r w:rsidR="001F3B2B" w:rsidRPr="00AD396B">
        <w:rPr>
          <w:color w:val="auto"/>
          <w:shd w:val="clear" w:color="auto" w:fill="FFFFFF"/>
        </w:rPr>
        <w:t xml:space="preserve"> is ungenerous.</w:t>
      </w:r>
    </w:p>
    <w:p w14:paraId="0035529E" w14:textId="77777777" w:rsidR="003C6F6A" w:rsidRPr="003C6F6A" w:rsidRDefault="00642E31" w:rsidP="003C6F6A">
      <w:pPr>
        <w:spacing w:line="240" w:lineRule="auto"/>
        <w:ind w:left="1505"/>
        <w:jc w:val="both"/>
        <w:rPr>
          <w:color w:val="auto"/>
          <w:shd w:val="clear" w:color="auto" w:fill="FFFFFF"/>
        </w:rPr>
      </w:pPr>
      <w:r w:rsidRPr="003C6F6A">
        <w:rPr>
          <w:color w:val="auto"/>
          <w:shd w:val="clear" w:color="auto" w:fill="FFFFFF"/>
        </w:rPr>
        <w:t xml:space="preserve">Or  </w:t>
      </w:r>
    </w:p>
    <w:p w14:paraId="22C0ECF9" w14:textId="33186734" w:rsidR="006D6141" w:rsidRPr="006D6141" w:rsidRDefault="00642E31" w:rsidP="001F3B2B">
      <w:pPr>
        <w:pStyle w:val="ListParagraph"/>
        <w:numPr>
          <w:ilvl w:val="0"/>
          <w:numId w:val="12"/>
        </w:numPr>
        <w:spacing w:line="240" w:lineRule="auto"/>
        <w:jc w:val="both"/>
        <w:rPr>
          <w:color w:val="auto"/>
          <w:shd w:val="clear" w:color="auto" w:fill="FFFFFF"/>
        </w:rPr>
      </w:pPr>
      <w:r w:rsidRPr="003C6F6A">
        <w:rPr>
          <w:b/>
          <w:bCs/>
          <w:color w:val="auto"/>
          <w:shd w:val="clear" w:color="auto" w:fill="FFFFFF"/>
        </w:rPr>
        <w:t>An individual case</w:t>
      </w:r>
      <w:r w:rsidRPr="003C6F6A">
        <w:rPr>
          <w:color w:val="auto"/>
          <w:shd w:val="clear" w:color="auto" w:fill="FFFFFF"/>
        </w:rPr>
        <w:t xml:space="preserve"> – Where there is no relevant locally commissioned service, local or national EBI policy, pathway or recommendation and/or other relevant mandatory/statutory guidance in place for the management of the patient's condition or combination of conditions, AND the patient’s clinical presentation is so unusual that they could not be considered to be part of a defined group of patients in the same or similar clinical circumstances for whom a service development could be undertaken.  AND in both cases, there is a basis for considering that the requested intervention is likely to be clinically effective for the patient AND a good use of NHS resources.</w:t>
      </w:r>
      <w:r w:rsidR="001F3B2B">
        <w:rPr>
          <w:color w:val="auto"/>
          <w:shd w:val="clear" w:color="auto" w:fill="FFFFFF"/>
        </w:rPr>
        <w:t xml:space="preserve">  This also includes new interventions or rarely used interventions that there is no local or national EBI policy for and no established history of being routinely commissioned.</w:t>
      </w:r>
    </w:p>
    <w:p w14:paraId="506EFB89" w14:textId="77777777" w:rsidR="006D6141" w:rsidRDefault="006D6141" w:rsidP="001F3B2B">
      <w:pPr>
        <w:spacing w:line="240" w:lineRule="auto"/>
        <w:jc w:val="both"/>
        <w:rPr>
          <w:color w:val="auto"/>
          <w:shd w:val="clear" w:color="auto" w:fill="FFFFFF"/>
        </w:rPr>
      </w:pPr>
    </w:p>
    <w:p w14:paraId="0EDCA68D" w14:textId="77777777" w:rsidR="008369CF" w:rsidRDefault="008369CF" w:rsidP="001F3B2B">
      <w:pPr>
        <w:shd w:val="clear" w:color="auto" w:fill="FFFFFF"/>
        <w:spacing w:line="240" w:lineRule="auto"/>
        <w:rPr>
          <w:rFonts w:ascii="Roboto" w:hAnsi="Roboto" w:cs="Times New Roman"/>
          <w:color w:val="auto"/>
          <w:sz w:val="21"/>
          <w:szCs w:val="21"/>
        </w:rPr>
      </w:pPr>
    </w:p>
    <w:p w14:paraId="3B91C805" w14:textId="77777777" w:rsidR="00181D46" w:rsidRDefault="00181D46" w:rsidP="001F3B2B">
      <w:pPr>
        <w:shd w:val="clear" w:color="auto" w:fill="FFFFFF"/>
        <w:spacing w:line="240" w:lineRule="auto"/>
        <w:rPr>
          <w:rFonts w:ascii="Roboto" w:hAnsi="Roboto" w:cs="Times New Roman"/>
          <w:color w:val="auto"/>
          <w:sz w:val="21"/>
          <w:szCs w:val="21"/>
        </w:rPr>
      </w:pPr>
    </w:p>
    <w:p w14:paraId="10A00A94" w14:textId="77777777" w:rsidR="00181D46" w:rsidRDefault="00181D46" w:rsidP="001F3B2B">
      <w:pPr>
        <w:shd w:val="clear" w:color="auto" w:fill="FFFFFF"/>
        <w:spacing w:line="240" w:lineRule="auto"/>
        <w:rPr>
          <w:rFonts w:ascii="Roboto" w:hAnsi="Roboto" w:cs="Times New Roman"/>
          <w:color w:val="auto"/>
          <w:sz w:val="21"/>
          <w:szCs w:val="21"/>
        </w:rPr>
      </w:pPr>
    </w:p>
    <w:p w14:paraId="5128BC90" w14:textId="77777777" w:rsidR="00181D46" w:rsidRDefault="00181D46" w:rsidP="001F3B2B">
      <w:pPr>
        <w:shd w:val="clear" w:color="auto" w:fill="FFFFFF"/>
        <w:spacing w:line="240" w:lineRule="auto"/>
        <w:rPr>
          <w:rFonts w:ascii="Roboto" w:hAnsi="Roboto" w:cs="Times New Roman"/>
          <w:color w:val="auto"/>
          <w:sz w:val="21"/>
          <w:szCs w:val="21"/>
        </w:rPr>
      </w:pPr>
    </w:p>
    <w:p w14:paraId="23C70F4C" w14:textId="77777777" w:rsidR="00181D46" w:rsidRDefault="00181D46" w:rsidP="001F3B2B">
      <w:pPr>
        <w:shd w:val="clear" w:color="auto" w:fill="FFFFFF"/>
        <w:spacing w:line="240" w:lineRule="auto"/>
        <w:rPr>
          <w:rFonts w:ascii="Roboto" w:hAnsi="Roboto" w:cs="Times New Roman"/>
          <w:color w:val="auto"/>
          <w:sz w:val="21"/>
          <w:szCs w:val="21"/>
        </w:rPr>
      </w:pPr>
    </w:p>
    <w:p w14:paraId="47DCBA08" w14:textId="77777777" w:rsidR="00181D46" w:rsidRDefault="00181D46" w:rsidP="001F3B2B">
      <w:pPr>
        <w:shd w:val="clear" w:color="auto" w:fill="FFFFFF"/>
        <w:spacing w:line="240" w:lineRule="auto"/>
        <w:rPr>
          <w:rFonts w:ascii="Roboto" w:hAnsi="Roboto" w:cs="Times New Roman"/>
          <w:color w:val="auto"/>
          <w:sz w:val="21"/>
          <w:szCs w:val="21"/>
        </w:rPr>
      </w:pPr>
    </w:p>
    <w:p w14:paraId="2B1C4909" w14:textId="77777777" w:rsidR="00181D46" w:rsidRDefault="00181D46" w:rsidP="001F3B2B">
      <w:pPr>
        <w:shd w:val="clear" w:color="auto" w:fill="FFFFFF"/>
        <w:spacing w:line="240" w:lineRule="auto"/>
        <w:rPr>
          <w:rFonts w:ascii="Roboto" w:hAnsi="Roboto" w:cs="Times New Roman"/>
          <w:color w:val="auto"/>
          <w:sz w:val="21"/>
          <w:szCs w:val="21"/>
        </w:rPr>
      </w:pPr>
    </w:p>
    <w:p w14:paraId="3C72E104" w14:textId="77777777" w:rsidR="00181D46" w:rsidRDefault="00181D46" w:rsidP="001F3B2B">
      <w:pPr>
        <w:shd w:val="clear" w:color="auto" w:fill="FFFFFF"/>
        <w:spacing w:line="240" w:lineRule="auto"/>
        <w:rPr>
          <w:rFonts w:ascii="Roboto" w:hAnsi="Roboto" w:cs="Times New Roman"/>
          <w:color w:val="auto"/>
          <w:sz w:val="21"/>
          <w:szCs w:val="21"/>
        </w:rPr>
      </w:pPr>
    </w:p>
    <w:p w14:paraId="1505EBC8" w14:textId="77777777" w:rsidR="00181D46" w:rsidRDefault="00181D46" w:rsidP="001F3B2B">
      <w:pPr>
        <w:shd w:val="clear" w:color="auto" w:fill="FFFFFF"/>
        <w:spacing w:line="240" w:lineRule="auto"/>
        <w:rPr>
          <w:rFonts w:ascii="Roboto" w:hAnsi="Roboto" w:cs="Times New Roman"/>
          <w:color w:val="auto"/>
          <w:sz w:val="21"/>
          <w:szCs w:val="21"/>
        </w:rPr>
      </w:pPr>
    </w:p>
    <w:p w14:paraId="04C32314" w14:textId="77777777" w:rsidR="00181D46" w:rsidRDefault="00181D46" w:rsidP="001F3B2B">
      <w:pPr>
        <w:shd w:val="clear" w:color="auto" w:fill="FFFFFF"/>
        <w:spacing w:line="240" w:lineRule="auto"/>
        <w:rPr>
          <w:rFonts w:ascii="Roboto" w:hAnsi="Roboto" w:cs="Times New Roman"/>
          <w:color w:val="auto"/>
          <w:sz w:val="21"/>
          <w:szCs w:val="21"/>
        </w:rPr>
      </w:pPr>
    </w:p>
    <w:p w14:paraId="2F9B6C98" w14:textId="77777777" w:rsidR="00181D46" w:rsidRDefault="00181D46" w:rsidP="001F3B2B">
      <w:pPr>
        <w:shd w:val="clear" w:color="auto" w:fill="FFFFFF"/>
        <w:spacing w:line="240" w:lineRule="auto"/>
        <w:rPr>
          <w:rFonts w:ascii="Roboto" w:hAnsi="Roboto" w:cs="Times New Roman"/>
          <w:color w:val="auto"/>
          <w:sz w:val="21"/>
          <w:szCs w:val="21"/>
        </w:rPr>
      </w:pPr>
    </w:p>
    <w:p w14:paraId="7146412D" w14:textId="77777777" w:rsidR="00181D46" w:rsidRDefault="00181D46" w:rsidP="001F3B2B">
      <w:pPr>
        <w:shd w:val="clear" w:color="auto" w:fill="FFFFFF"/>
        <w:spacing w:line="240" w:lineRule="auto"/>
        <w:rPr>
          <w:rFonts w:ascii="Roboto" w:hAnsi="Roboto" w:cs="Times New Roman"/>
          <w:color w:val="auto"/>
          <w:sz w:val="21"/>
          <w:szCs w:val="21"/>
        </w:rPr>
      </w:pPr>
    </w:p>
    <w:p w14:paraId="2960A7BC" w14:textId="77777777" w:rsidR="00181D46" w:rsidRDefault="00181D46" w:rsidP="001F3B2B">
      <w:pPr>
        <w:shd w:val="clear" w:color="auto" w:fill="FFFFFF"/>
        <w:spacing w:line="240" w:lineRule="auto"/>
        <w:rPr>
          <w:rFonts w:ascii="Roboto" w:hAnsi="Roboto" w:cs="Times New Roman"/>
          <w:color w:val="auto"/>
          <w:sz w:val="21"/>
          <w:szCs w:val="21"/>
        </w:rPr>
      </w:pPr>
    </w:p>
    <w:p w14:paraId="7E621C09" w14:textId="77777777" w:rsidR="00181D46" w:rsidRDefault="00181D46" w:rsidP="001F3B2B">
      <w:pPr>
        <w:shd w:val="clear" w:color="auto" w:fill="FFFFFF"/>
        <w:spacing w:line="240" w:lineRule="auto"/>
        <w:rPr>
          <w:rFonts w:ascii="Roboto" w:hAnsi="Roboto" w:cs="Times New Roman"/>
          <w:color w:val="auto"/>
          <w:sz w:val="21"/>
          <w:szCs w:val="21"/>
        </w:rPr>
      </w:pPr>
    </w:p>
    <w:p w14:paraId="1B14A92D" w14:textId="77777777" w:rsidR="00181D46" w:rsidRDefault="00181D46" w:rsidP="001F3B2B">
      <w:pPr>
        <w:shd w:val="clear" w:color="auto" w:fill="FFFFFF"/>
        <w:spacing w:line="240" w:lineRule="auto"/>
        <w:rPr>
          <w:rFonts w:ascii="Roboto" w:hAnsi="Roboto" w:cs="Times New Roman"/>
          <w:color w:val="auto"/>
          <w:sz w:val="21"/>
          <w:szCs w:val="21"/>
        </w:rPr>
      </w:pPr>
    </w:p>
    <w:p w14:paraId="71A96FAC" w14:textId="77777777" w:rsidR="00181D46" w:rsidRDefault="00181D46" w:rsidP="001F3B2B">
      <w:pPr>
        <w:shd w:val="clear" w:color="auto" w:fill="FFFFFF"/>
        <w:spacing w:line="240" w:lineRule="auto"/>
        <w:rPr>
          <w:rFonts w:ascii="Roboto" w:hAnsi="Roboto" w:cs="Times New Roman"/>
          <w:color w:val="auto"/>
          <w:sz w:val="21"/>
          <w:szCs w:val="21"/>
        </w:rPr>
      </w:pPr>
    </w:p>
    <w:p w14:paraId="5CE79CDA" w14:textId="77777777" w:rsidR="00181D46" w:rsidRDefault="00181D46" w:rsidP="001F3B2B">
      <w:pPr>
        <w:shd w:val="clear" w:color="auto" w:fill="FFFFFF"/>
        <w:spacing w:line="240" w:lineRule="auto"/>
        <w:rPr>
          <w:rFonts w:ascii="Roboto" w:hAnsi="Roboto" w:cs="Times New Roman"/>
          <w:color w:val="auto"/>
          <w:sz w:val="21"/>
          <w:szCs w:val="21"/>
        </w:rPr>
      </w:pPr>
    </w:p>
    <w:p w14:paraId="15152180" w14:textId="77777777" w:rsidR="00181D46" w:rsidRPr="00DC78A6" w:rsidRDefault="00181D46" w:rsidP="001F3B2B">
      <w:pPr>
        <w:shd w:val="clear" w:color="auto" w:fill="FFFFFF"/>
        <w:spacing w:line="240" w:lineRule="auto"/>
        <w:rPr>
          <w:rFonts w:ascii="Roboto" w:hAnsi="Roboto" w:cs="Times New Roman"/>
          <w:color w:val="auto"/>
          <w:sz w:val="21"/>
          <w:szCs w:val="21"/>
        </w:rPr>
      </w:pPr>
    </w:p>
    <w:p w14:paraId="356BF9A4" w14:textId="77777777" w:rsidR="00DB34F7" w:rsidRDefault="00976991" w:rsidP="003904F3">
      <w:pPr>
        <w:pStyle w:val="Heading1"/>
        <w:spacing w:line="240" w:lineRule="auto"/>
        <w:ind w:left="856" w:hanging="431"/>
      </w:pPr>
      <w:r>
        <w:t>Roles and Responsibilities</w:t>
      </w:r>
    </w:p>
    <w:p w14:paraId="552FD3D9" w14:textId="26C02C30" w:rsidR="006339AF" w:rsidRDefault="006339AF" w:rsidP="00DB34F7">
      <w:pPr>
        <w:pStyle w:val="Heading2"/>
      </w:pPr>
      <w:r w:rsidRPr="00D00602">
        <w:t>Applicants</w:t>
      </w:r>
    </w:p>
    <w:p w14:paraId="26DF0034" w14:textId="2FB6F7C6" w:rsidR="006339AF" w:rsidRDefault="006339AF" w:rsidP="006339AF">
      <w:pPr>
        <w:pStyle w:val="Heading2"/>
        <w:numPr>
          <w:ilvl w:val="0"/>
          <w:numId w:val="0"/>
        </w:numPr>
        <w:spacing w:before="0" w:line="240" w:lineRule="auto"/>
        <w:ind w:left="425"/>
        <w:jc w:val="both"/>
        <w:rPr>
          <w:b w:val="0"/>
          <w:bCs w:val="0"/>
        </w:rPr>
      </w:pPr>
      <w:r w:rsidRPr="00E40B08">
        <w:rPr>
          <w:b w:val="0"/>
          <w:bCs w:val="0"/>
        </w:rPr>
        <w:t xml:space="preserve">Applications must be made by </w:t>
      </w:r>
      <w:r w:rsidR="00F416A7" w:rsidRPr="00E40B08">
        <w:rPr>
          <w:b w:val="0"/>
          <w:bCs w:val="0"/>
        </w:rPr>
        <w:t>the</w:t>
      </w:r>
      <w:r w:rsidR="00562614" w:rsidRPr="00E40B08">
        <w:rPr>
          <w:b w:val="0"/>
          <w:bCs w:val="0"/>
        </w:rPr>
        <w:t xml:space="preserve"> </w:t>
      </w:r>
      <w:r w:rsidRPr="00E40B08">
        <w:rPr>
          <w:b w:val="0"/>
          <w:bCs w:val="0"/>
        </w:rPr>
        <w:t>clinician</w:t>
      </w:r>
      <w:r w:rsidR="00F416A7" w:rsidRPr="00E40B08">
        <w:rPr>
          <w:b w:val="0"/>
          <w:bCs w:val="0"/>
        </w:rPr>
        <w:t xml:space="preserve"> who is recommending the intervention for the</w:t>
      </w:r>
      <w:r w:rsidR="00825C78" w:rsidRPr="00E40B08">
        <w:rPr>
          <w:b w:val="0"/>
          <w:bCs w:val="0"/>
        </w:rPr>
        <w:t>ir patients care</w:t>
      </w:r>
      <w:r w:rsidRPr="00E40B08">
        <w:rPr>
          <w:b w:val="0"/>
          <w:bCs w:val="0"/>
        </w:rPr>
        <w:t>. For IFRs for Exceptional Cases this is likely to be the patient’s GP or Consultant but may be from a therapist or other healthcare professional applying appropriately within their scope of expertise.</w:t>
      </w:r>
      <w:r w:rsidRPr="00D00602">
        <w:rPr>
          <w:b w:val="0"/>
          <w:bCs w:val="0"/>
        </w:rPr>
        <w:t xml:space="preserve"> </w:t>
      </w:r>
    </w:p>
    <w:p w14:paraId="54179299" w14:textId="77777777" w:rsidR="006339AF" w:rsidRDefault="006339AF" w:rsidP="006339AF">
      <w:pPr>
        <w:pStyle w:val="Heading2"/>
        <w:numPr>
          <w:ilvl w:val="0"/>
          <w:numId w:val="0"/>
        </w:numPr>
        <w:spacing w:before="0" w:line="240" w:lineRule="auto"/>
        <w:ind w:left="425"/>
        <w:jc w:val="both"/>
        <w:rPr>
          <w:b w:val="0"/>
          <w:bCs w:val="0"/>
        </w:rPr>
      </w:pPr>
    </w:p>
    <w:p w14:paraId="275FCAE7" w14:textId="629ADFAD" w:rsidR="006339AF" w:rsidRDefault="006339AF" w:rsidP="006339AF">
      <w:pPr>
        <w:pStyle w:val="Heading2"/>
        <w:numPr>
          <w:ilvl w:val="0"/>
          <w:numId w:val="0"/>
        </w:numPr>
        <w:spacing w:before="0" w:line="240" w:lineRule="auto"/>
        <w:ind w:left="425"/>
        <w:jc w:val="both"/>
        <w:rPr>
          <w:b w:val="0"/>
          <w:bCs w:val="0"/>
        </w:rPr>
      </w:pPr>
      <w:r w:rsidRPr="00D00602">
        <w:rPr>
          <w:b w:val="0"/>
          <w:bCs w:val="0"/>
        </w:rPr>
        <w:t xml:space="preserve">It is expected that the majority of IFRs will be submitted by secondary/tertiary care clinicians </w:t>
      </w:r>
      <w:r w:rsidR="00825C78">
        <w:rPr>
          <w:b w:val="0"/>
          <w:bCs w:val="0"/>
        </w:rPr>
        <w:t>rather than</w:t>
      </w:r>
      <w:r w:rsidRPr="00D00602">
        <w:rPr>
          <w:b w:val="0"/>
          <w:bCs w:val="0"/>
        </w:rPr>
        <w:t xml:space="preserve"> primary care clinicians. The requirement for a GP to make an IFR </w:t>
      </w:r>
      <w:r w:rsidR="00825C78">
        <w:rPr>
          <w:b w:val="0"/>
          <w:bCs w:val="0"/>
        </w:rPr>
        <w:t>i</w:t>
      </w:r>
      <w:r w:rsidRPr="00D00602">
        <w:rPr>
          <w:b w:val="0"/>
          <w:bCs w:val="0"/>
        </w:rPr>
        <w:t xml:space="preserve">s expected to be relatively rare given the grounds for clinical exceptionality and the complexity of such requests. However, if a GP feels that an IFR is appropriate, expert advice should be sought as appropriate. It is for the same reason that patients cannot apply for their own funding and </w:t>
      </w:r>
      <w:r w:rsidR="00825C78">
        <w:rPr>
          <w:b w:val="0"/>
          <w:bCs w:val="0"/>
        </w:rPr>
        <w:t xml:space="preserve">only </w:t>
      </w:r>
      <w:r w:rsidRPr="00D00602">
        <w:rPr>
          <w:b w:val="0"/>
          <w:bCs w:val="0"/>
        </w:rPr>
        <w:t xml:space="preserve">an appropriate </w:t>
      </w:r>
      <w:r w:rsidRPr="00E40B08">
        <w:rPr>
          <w:b w:val="0"/>
          <w:bCs w:val="0"/>
        </w:rPr>
        <w:t>clinician</w:t>
      </w:r>
      <w:r w:rsidRPr="00D00602">
        <w:rPr>
          <w:b w:val="0"/>
          <w:bCs w:val="0"/>
        </w:rPr>
        <w:t xml:space="preserve"> can apply on the patient’s behalf if, in their professional opinion, it is appropriate to do so. </w:t>
      </w:r>
    </w:p>
    <w:p w14:paraId="6750CC27" w14:textId="77777777" w:rsidR="00D77A56" w:rsidRDefault="00D77A56" w:rsidP="00F416A7">
      <w:pPr>
        <w:pStyle w:val="Heading2"/>
        <w:numPr>
          <w:ilvl w:val="0"/>
          <w:numId w:val="0"/>
        </w:numPr>
        <w:spacing w:before="0" w:line="240" w:lineRule="auto"/>
        <w:jc w:val="both"/>
        <w:rPr>
          <w:b w:val="0"/>
          <w:bCs w:val="0"/>
        </w:rPr>
      </w:pPr>
      <w:bookmarkStart w:id="3" w:name="_Toc172022024"/>
    </w:p>
    <w:p w14:paraId="4E7358B5" w14:textId="20E45C9D" w:rsidR="00BC1C28" w:rsidRPr="00D00602" w:rsidRDefault="00D00602" w:rsidP="00D00602">
      <w:pPr>
        <w:pStyle w:val="Heading2"/>
        <w:numPr>
          <w:ilvl w:val="0"/>
          <w:numId w:val="0"/>
        </w:numPr>
        <w:spacing w:before="0" w:line="240" w:lineRule="auto"/>
        <w:ind w:left="425"/>
        <w:jc w:val="both"/>
        <w:rPr>
          <w:b w:val="0"/>
          <w:bCs w:val="0"/>
        </w:rPr>
      </w:pPr>
      <w:r w:rsidRPr="00D00602">
        <w:rPr>
          <w:b w:val="0"/>
          <w:bCs w:val="0"/>
        </w:rPr>
        <w:t>Applicants are expected to submit a full and complete application form and all necessary supporting evidence. Should the</w:t>
      </w:r>
      <w:r w:rsidR="00E40B08">
        <w:rPr>
          <w:b w:val="0"/>
          <w:bCs w:val="0"/>
        </w:rPr>
        <w:t xml:space="preserve"> </w:t>
      </w:r>
      <w:r w:rsidRPr="00D00602">
        <w:rPr>
          <w:b w:val="0"/>
          <w:bCs w:val="0"/>
        </w:rPr>
        <w:t>IFR</w:t>
      </w:r>
      <w:r w:rsidR="00417D74">
        <w:rPr>
          <w:b w:val="0"/>
          <w:bCs w:val="0"/>
        </w:rPr>
        <w:t xml:space="preserve"> Administration</w:t>
      </w:r>
      <w:r w:rsidRPr="00D00602">
        <w:rPr>
          <w:b w:val="0"/>
          <w:bCs w:val="0"/>
        </w:rPr>
        <w:t xml:space="preserve"> </w:t>
      </w:r>
      <w:r w:rsidR="00417D74">
        <w:rPr>
          <w:b w:val="0"/>
          <w:bCs w:val="0"/>
        </w:rPr>
        <w:t>T</w:t>
      </w:r>
      <w:r w:rsidRPr="00D00602">
        <w:rPr>
          <w:b w:val="0"/>
          <w:bCs w:val="0"/>
        </w:rPr>
        <w:t xml:space="preserve">eam require further information, it will be requested from the applicant only. It is the responsibility of the applicant to submit what is required in line with the timelines specified in the </w:t>
      </w:r>
      <w:r w:rsidR="00D77A56">
        <w:rPr>
          <w:b w:val="0"/>
          <w:bCs w:val="0"/>
        </w:rPr>
        <w:t>Standard Operating Procedure</w:t>
      </w:r>
      <w:r w:rsidRPr="00D00602">
        <w:rPr>
          <w:b w:val="0"/>
          <w:bCs w:val="0"/>
        </w:rPr>
        <w:t xml:space="preserve"> to avoid delays in patient care.  </w:t>
      </w:r>
    </w:p>
    <w:p w14:paraId="5D85D20E" w14:textId="77777777" w:rsidR="00D00602" w:rsidRDefault="00D00602" w:rsidP="00D00602"/>
    <w:p w14:paraId="45D305E4" w14:textId="20C55C51" w:rsidR="00343D44" w:rsidRPr="00001C25" w:rsidRDefault="00343D44" w:rsidP="00BC1C28">
      <w:pPr>
        <w:pStyle w:val="Heading2"/>
        <w:spacing w:before="0" w:line="240" w:lineRule="auto"/>
        <w:ind w:left="425"/>
        <w:jc w:val="both"/>
      </w:pPr>
      <w:r w:rsidRPr="00001C25">
        <w:t>Chief Executive</w:t>
      </w:r>
      <w:bookmarkEnd w:id="3"/>
    </w:p>
    <w:p w14:paraId="4B95C7A8" w14:textId="77777777" w:rsidR="00343D44" w:rsidRPr="00001C25" w:rsidRDefault="00343D44" w:rsidP="00BC1C28">
      <w:pPr>
        <w:spacing w:line="240" w:lineRule="auto"/>
        <w:ind w:left="425"/>
        <w:jc w:val="both"/>
        <w:rPr>
          <w:color w:val="auto"/>
        </w:rPr>
      </w:pPr>
      <w:r w:rsidRPr="00001C25">
        <w:rPr>
          <w:color w:val="auto"/>
        </w:rPr>
        <w:t>The Chief Executive has overall accountability for the commissioning services including medicines and other treatments for the population and will discharge these duties through delegation to the ICB Executive Director of Clinical and Professionals who will ensure decisions are made fairly and consistently.</w:t>
      </w:r>
    </w:p>
    <w:p w14:paraId="4C194AFA" w14:textId="77777777" w:rsidR="00343D44" w:rsidRPr="00001C25" w:rsidRDefault="00343D44" w:rsidP="00BC1C28">
      <w:pPr>
        <w:spacing w:line="240" w:lineRule="auto"/>
        <w:ind w:left="425"/>
        <w:jc w:val="both"/>
        <w:rPr>
          <w:color w:val="auto"/>
        </w:rPr>
      </w:pPr>
    </w:p>
    <w:p w14:paraId="294B508A" w14:textId="26A652BC" w:rsidR="009B223D" w:rsidRDefault="009B223D" w:rsidP="009B223D">
      <w:pPr>
        <w:pStyle w:val="Heading2"/>
        <w:spacing w:before="0" w:line="240" w:lineRule="auto"/>
        <w:ind w:left="425"/>
        <w:jc w:val="both"/>
      </w:pPr>
      <w:bookmarkStart w:id="4" w:name="_Toc172022025"/>
      <w:bookmarkStart w:id="5" w:name="_Hlk171337828"/>
      <w:r>
        <w:t xml:space="preserve">IFR Panel </w:t>
      </w:r>
    </w:p>
    <w:p w14:paraId="5AA89DB8" w14:textId="73C1A409" w:rsidR="009B223D" w:rsidRPr="00E10AF5" w:rsidRDefault="009B223D" w:rsidP="009B223D">
      <w:pPr>
        <w:spacing w:line="240" w:lineRule="auto"/>
        <w:ind w:left="425"/>
        <w:jc w:val="both"/>
        <w:rPr>
          <w:bCs/>
          <w:color w:val="auto"/>
        </w:rPr>
      </w:pPr>
      <w:r w:rsidRPr="00E10AF5">
        <w:rPr>
          <w:bCs/>
          <w:color w:val="auto"/>
        </w:rPr>
        <w:t>The individual funding requests panel has delegated authority from the ICB to make decisions about individual’s individual funding request cases. Whilst discussions take place amongst the panel members, accountability for the respective case decision rests with the individual representative(s) on the panel.</w:t>
      </w:r>
      <w:r w:rsidR="000F73F5">
        <w:rPr>
          <w:bCs/>
          <w:color w:val="auto"/>
        </w:rPr>
        <w:t xml:space="preserve">  The panel are supported by the IFR support staff and liaise with the ICB Clinical Effectiveness Unit, as required, for additional expert clinical advice.</w:t>
      </w:r>
    </w:p>
    <w:p w14:paraId="5D154D64" w14:textId="77777777" w:rsidR="009B223D" w:rsidRPr="009B223D" w:rsidRDefault="009B223D" w:rsidP="009B223D"/>
    <w:p w14:paraId="20D4F318" w14:textId="4E293851" w:rsidR="00343D44" w:rsidRDefault="00343D44" w:rsidP="1FF532CB">
      <w:pPr>
        <w:pStyle w:val="Heading2"/>
        <w:spacing w:before="0" w:line="240" w:lineRule="auto"/>
        <w:ind w:left="425"/>
        <w:jc w:val="both"/>
      </w:pPr>
      <w:r>
        <w:t xml:space="preserve">Executive </w:t>
      </w:r>
      <w:r w:rsidR="7C55E43D">
        <w:t xml:space="preserve">Medical Director </w:t>
      </w:r>
      <w:bookmarkEnd w:id="4"/>
    </w:p>
    <w:p w14:paraId="5A023A4D" w14:textId="0FBB6B97" w:rsidR="00343D44" w:rsidRDefault="00343D44" w:rsidP="00BC1C28">
      <w:pPr>
        <w:spacing w:line="240" w:lineRule="auto"/>
        <w:ind w:left="425"/>
        <w:jc w:val="both"/>
        <w:rPr>
          <w:color w:val="auto"/>
        </w:rPr>
      </w:pPr>
      <w:r w:rsidRPr="1FF532CB">
        <w:rPr>
          <w:color w:val="auto"/>
        </w:rPr>
        <w:t xml:space="preserve">The Executive </w:t>
      </w:r>
      <w:r w:rsidR="0EC5E0B0" w:rsidRPr="1FF532CB">
        <w:rPr>
          <w:color w:val="auto"/>
        </w:rPr>
        <w:t>Medical Director</w:t>
      </w:r>
      <w:r w:rsidRPr="1FF532CB">
        <w:rPr>
          <w:color w:val="auto"/>
        </w:rPr>
        <w:t xml:space="preserve"> is responsible for the strategic coordination of this policy and will be supported by clinical leads / </w:t>
      </w:r>
      <w:r w:rsidR="00417D74" w:rsidRPr="1FF532CB">
        <w:rPr>
          <w:color w:val="auto"/>
        </w:rPr>
        <w:t>IFR</w:t>
      </w:r>
      <w:r w:rsidRPr="1FF532CB">
        <w:rPr>
          <w:color w:val="auto"/>
        </w:rPr>
        <w:t xml:space="preserve"> leads and through the appointment of clinicians to </w:t>
      </w:r>
      <w:r w:rsidR="00417D74" w:rsidRPr="1FF532CB">
        <w:rPr>
          <w:color w:val="auto"/>
        </w:rPr>
        <w:t>IFR</w:t>
      </w:r>
      <w:r w:rsidRPr="1FF532CB">
        <w:rPr>
          <w:color w:val="auto"/>
        </w:rPr>
        <w:t xml:space="preserve"> panels. The Executive Director of Clinical and </w:t>
      </w:r>
      <w:r w:rsidR="00417D74" w:rsidRPr="1FF532CB">
        <w:rPr>
          <w:color w:val="auto"/>
        </w:rPr>
        <w:t xml:space="preserve">Care </w:t>
      </w:r>
      <w:r w:rsidRPr="1FF532CB">
        <w:rPr>
          <w:color w:val="auto"/>
        </w:rPr>
        <w:t>Professionals will be supported through the operating model below and must ensure that members of staff are aware of this policy and the processes to be followed.</w:t>
      </w:r>
    </w:p>
    <w:bookmarkEnd w:id="5"/>
    <w:p w14:paraId="31F79C3E" w14:textId="77777777" w:rsidR="00343D44" w:rsidRPr="00BC1C28" w:rsidRDefault="00343D44" w:rsidP="00417D74">
      <w:pPr>
        <w:spacing w:line="240" w:lineRule="auto"/>
        <w:jc w:val="both"/>
        <w:rPr>
          <w:color w:val="auto"/>
        </w:rPr>
      </w:pPr>
    </w:p>
    <w:p w14:paraId="3269008C" w14:textId="44785A6A" w:rsidR="00BC0878" w:rsidRDefault="00343D44" w:rsidP="00BB022C">
      <w:pPr>
        <w:pStyle w:val="Heading2"/>
        <w:spacing w:before="0" w:line="240" w:lineRule="auto"/>
        <w:ind w:left="425"/>
        <w:jc w:val="both"/>
      </w:pPr>
      <w:bookmarkStart w:id="6" w:name="_Toc172022028"/>
      <w:r w:rsidRPr="00BC1C28">
        <w:t>I</w:t>
      </w:r>
      <w:bookmarkEnd w:id="6"/>
      <w:r w:rsidR="00BC0878">
        <w:t>FR Service Senior Man</w:t>
      </w:r>
      <w:r w:rsidR="00797A32">
        <w:t>a</w:t>
      </w:r>
      <w:r w:rsidR="00BC0878">
        <w:t xml:space="preserve">ger </w:t>
      </w:r>
    </w:p>
    <w:p w14:paraId="274D25E4" w14:textId="368D65BC" w:rsidR="00343D44" w:rsidRPr="00BC0878" w:rsidRDefault="00343D44" w:rsidP="00BC0878">
      <w:pPr>
        <w:pStyle w:val="Heading2"/>
        <w:numPr>
          <w:ilvl w:val="0"/>
          <w:numId w:val="0"/>
        </w:numPr>
        <w:spacing w:before="0" w:line="240" w:lineRule="auto"/>
        <w:ind w:left="425"/>
        <w:jc w:val="both"/>
        <w:rPr>
          <w:b w:val="0"/>
          <w:bCs w:val="0"/>
        </w:rPr>
      </w:pPr>
      <w:r w:rsidRPr="00BC0878">
        <w:rPr>
          <w:b w:val="0"/>
          <w:bCs w:val="0"/>
        </w:rPr>
        <w:t xml:space="preserve">The </w:t>
      </w:r>
      <w:r w:rsidR="000E3BA7">
        <w:rPr>
          <w:b w:val="0"/>
          <w:bCs w:val="0"/>
        </w:rPr>
        <w:t>IFR Service Senior Manager</w:t>
      </w:r>
      <w:r w:rsidRPr="00BC0878">
        <w:rPr>
          <w:b w:val="0"/>
          <w:bCs w:val="0"/>
        </w:rPr>
        <w:t xml:space="preserve"> has overall responsibility for the </w:t>
      </w:r>
      <w:r w:rsidR="000E3BA7">
        <w:rPr>
          <w:b w:val="0"/>
          <w:bCs w:val="0"/>
        </w:rPr>
        <w:t xml:space="preserve">IFR </w:t>
      </w:r>
      <w:r w:rsidRPr="00BC0878">
        <w:rPr>
          <w:b w:val="0"/>
          <w:bCs w:val="0"/>
        </w:rPr>
        <w:t>administration service and its performance, providing strategic leadership to the service</w:t>
      </w:r>
      <w:r w:rsidR="00E40B08">
        <w:rPr>
          <w:b w:val="0"/>
          <w:bCs w:val="0"/>
        </w:rPr>
        <w:t>.</w:t>
      </w:r>
    </w:p>
    <w:p w14:paraId="55B3742C" w14:textId="77777777" w:rsidR="00343D44" w:rsidRPr="00BC1C28" w:rsidRDefault="00343D44" w:rsidP="00BC1C28">
      <w:pPr>
        <w:spacing w:line="240" w:lineRule="auto"/>
        <w:ind w:left="425"/>
        <w:jc w:val="both"/>
        <w:rPr>
          <w:color w:val="auto"/>
        </w:rPr>
      </w:pPr>
    </w:p>
    <w:p w14:paraId="607C8C61" w14:textId="24C2DC42" w:rsidR="00343D44" w:rsidRPr="00BC1C28" w:rsidRDefault="000E3BA7" w:rsidP="00BC1C28">
      <w:pPr>
        <w:pStyle w:val="Heading2"/>
        <w:spacing w:before="0" w:line="240" w:lineRule="auto"/>
        <w:ind w:left="425"/>
        <w:jc w:val="both"/>
      </w:pPr>
      <w:bookmarkStart w:id="7" w:name="_Toc172022029"/>
      <w:r>
        <w:t>IFR</w:t>
      </w:r>
      <w:r w:rsidR="00343D44" w:rsidRPr="00BC1C28">
        <w:t xml:space="preserve"> </w:t>
      </w:r>
      <w:r>
        <w:t>C</w:t>
      </w:r>
      <w:r w:rsidR="00343D44" w:rsidRPr="00BC1C28">
        <w:t xml:space="preserve">linical </w:t>
      </w:r>
      <w:r>
        <w:t>S</w:t>
      </w:r>
      <w:r w:rsidR="00343D44" w:rsidRPr="00BC1C28">
        <w:t xml:space="preserve">upport </w:t>
      </w:r>
      <w:r>
        <w:t>O</w:t>
      </w:r>
      <w:r w:rsidR="00343D44" w:rsidRPr="00BC1C28">
        <w:t>fficer</w:t>
      </w:r>
      <w:bookmarkEnd w:id="7"/>
    </w:p>
    <w:p w14:paraId="2522619F" w14:textId="010B1C87" w:rsidR="00343D44" w:rsidRPr="00BC1C28" w:rsidRDefault="00343D44" w:rsidP="00BC1C28">
      <w:pPr>
        <w:spacing w:line="240" w:lineRule="auto"/>
        <w:ind w:left="425"/>
        <w:jc w:val="both"/>
        <w:rPr>
          <w:color w:val="auto"/>
        </w:rPr>
      </w:pPr>
      <w:r w:rsidRPr="00BC1C28">
        <w:rPr>
          <w:color w:val="auto"/>
        </w:rPr>
        <w:t xml:space="preserve">Responsible for clinically triaging all cases before they are brought to panel the </w:t>
      </w:r>
      <w:r w:rsidR="00C238D3">
        <w:rPr>
          <w:color w:val="auto"/>
        </w:rPr>
        <w:t>IFR</w:t>
      </w:r>
      <w:r w:rsidRPr="00BC1C28">
        <w:rPr>
          <w:color w:val="auto"/>
        </w:rPr>
        <w:t xml:space="preserve"> </w:t>
      </w:r>
      <w:r w:rsidR="00C238D3">
        <w:rPr>
          <w:color w:val="auto"/>
        </w:rPr>
        <w:t>Cl</w:t>
      </w:r>
      <w:r w:rsidRPr="00BC1C28">
        <w:rPr>
          <w:color w:val="auto"/>
        </w:rPr>
        <w:t xml:space="preserve">inical </w:t>
      </w:r>
      <w:r w:rsidR="00C238D3">
        <w:rPr>
          <w:color w:val="auto"/>
        </w:rPr>
        <w:t>S</w:t>
      </w:r>
      <w:r w:rsidRPr="00BC1C28">
        <w:rPr>
          <w:color w:val="auto"/>
        </w:rPr>
        <w:t xml:space="preserve">upport </w:t>
      </w:r>
      <w:r w:rsidR="00C238D3">
        <w:rPr>
          <w:color w:val="auto"/>
        </w:rPr>
        <w:t>O</w:t>
      </w:r>
      <w:r w:rsidRPr="00BC1C28">
        <w:rPr>
          <w:color w:val="auto"/>
        </w:rPr>
        <w:t xml:space="preserve">fficer will make a recommendation on whether the request should be approved, declined, decide if the case should be discussed fully at </w:t>
      </w:r>
      <w:r w:rsidR="00F759E7">
        <w:rPr>
          <w:color w:val="auto"/>
        </w:rPr>
        <w:t>P</w:t>
      </w:r>
      <w:r w:rsidRPr="00BC1C28">
        <w:rPr>
          <w:color w:val="auto"/>
        </w:rPr>
        <w:t>anel, or whether further information is required before a recommendation can be made.</w:t>
      </w:r>
    </w:p>
    <w:p w14:paraId="3307D852" w14:textId="77777777" w:rsidR="00343D44" w:rsidRPr="00BC1C28" w:rsidRDefault="00343D44" w:rsidP="00BC1C28">
      <w:pPr>
        <w:spacing w:line="240" w:lineRule="auto"/>
        <w:ind w:left="425"/>
        <w:jc w:val="both"/>
        <w:rPr>
          <w:color w:val="auto"/>
        </w:rPr>
      </w:pPr>
    </w:p>
    <w:p w14:paraId="4F02872C" w14:textId="3B27F8A3" w:rsidR="00343D44" w:rsidRPr="00BC1C28" w:rsidRDefault="00F759E7" w:rsidP="00BC1C28">
      <w:pPr>
        <w:pStyle w:val="Heading2"/>
        <w:spacing w:before="0" w:line="240" w:lineRule="auto"/>
        <w:ind w:left="425"/>
        <w:jc w:val="both"/>
      </w:pPr>
      <w:bookmarkStart w:id="8" w:name="_Toc172022030"/>
      <w:r>
        <w:t>IFR</w:t>
      </w:r>
      <w:r w:rsidR="00343D44" w:rsidRPr="00BC1C28">
        <w:t xml:space="preserve"> </w:t>
      </w:r>
      <w:r>
        <w:t>A</w:t>
      </w:r>
      <w:r w:rsidR="00343D44" w:rsidRPr="00BC1C28">
        <w:t xml:space="preserve">dministration </w:t>
      </w:r>
      <w:r>
        <w:t>T</w:t>
      </w:r>
      <w:r w:rsidR="00343D44" w:rsidRPr="00BC1C28">
        <w:t>eam</w:t>
      </w:r>
      <w:bookmarkEnd w:id="8"/>
    </w:p>
    <w:p w14:paraId="2F088478" w14:textId="5EFB90F1" w:rsidR="00343D44" w:rsidRPr="00BC1C28" w:rsidRDefault="00343D44" w:rsidP="00BC1C28">
      <w:pPr>
        <w:spacing w:line="240" w:lineRule="auto"/>
        <w:ind w:left="425"/>
        <w:jc w:val="both"/>
        <w:rPr>
          <w:color w:val="auto"/>
        </w:rPr>
      </w:pPr>
      <w:r w:rsidRPr="00BC1C28">
        <w:rPr>
          <w:color w:val="auto"/>
        </w:rPr>
        <w:t xml:space="preserve">Provides administrative support for all individual funding request cases receives, monitors and coordinates responses within the set time frames and communicates with the referring clinician / healthcare professional regarding process and decisions. The </w:t>
      </w:r>
      <w:r w:rsidR="00F759E7">
        <w:rPr>
          <w:color w:val="auto"/>
        </w:rPr>
        <w:t>IFR</w:t>
      </w:r>
      <w:r w:rsidRPr="00BC1C28">
        <w:rPr>
          <w:color w:val="auto"/>
        </w:rPr>
        <w:t xml:space="preserve"> </w:t>
      </w:r>
      <w:r w:rsidR="00B926BD">
        <w:rPr>
          <w:color w:val="auto"/>
        </w:rPr>
        <w:t>A</w:t>
      </w:r>
      <w:r w:rsidRPr="00BC1C28">
        <w:rPr>
          <w:color w:val="auto"/>
        </w:rPr>
        <w:t xml:space="preserve">dministration </w:t>
      </w:r>
      <w:r w:rsidR="00B926BD">
        <w:rPr>
          <w:color w:val="auto"/>
        </w:rPr>
        <w:t>T</w:t>
      </w:r>
      <w:r w:rsidRPr="00BC1C28">
        <w:rPr>
          <w:color w:val="auto"/>
        </w:rPr>
        <w:t xml:space="preserve">eam will support the </w:t>
      </w:r>
      <w:r w:rsidR="00B926BD">
        <w:rPr>
          <w:color w:val="auto"/>
        </w:rPr>
        <w:t>IFR Panel</w:t>
      </w:r>
      <w:r w:rsidRPr="00BC1C28">
        <w:rPr>
          <w:color w:val="auto"/>
        </w:rPr>
        <w:t xml:space="preserve"> preparing papers, drafting the minutes, and maintaining the action log.</w:t>
      </w:r>
    </w:p>
    <w:p w14:paraId="4BC5EF34" w14:textId="77777777" w:rsidR="00E91015" w:rsidRPr="00DC78A6" w:rsidRDefault="00E91015" w:rsidP="00DD443C">
      <w:pPr>
        <w:ind w:left="432"/>
        <w:rPr>
          <w:color w:val="auto"/>
        </w:rPr>
      </w:pPr>
    </w:p>
    <w:p w14:paraId="09703A50" w14:textId="590CCC1B" w:rsidR="00E91015" w:rsidRDefault="00D74650" w:rsidP="00CE68BF">
      <w:pPr>
        <w:pStyle w:val="Heading1"/>
      </w:pPr>
      <w:r>
        <w:t xml:space="preserve">Policy Content </w:t>
      </w:r>
    </w:p>
    <w:p w14:paraId="776B7896" w14:textId="77777777" w:rsidR="007617B3" w:rsidRDefault="007617B3" w:rsidP="007617B3">
      <w:pPr>
        <w:pStyle w:val="Heading2"/>
        <w:spacing w:before="0" w:line="240" w:lineRule="auto"/>
        <w:ind w:left="720" w:hanging="578"/>
      </w:pPr>
      <w:r w:rsidRPr="007617B3">
        <w:t>Funding Duration</w:t>
      </w:r>
    </w:p>
    <w:p w14:paraId="2553FB38" w14:textId="75BCEE04" w:rsidR="007617B3" w:rsidRDefault="00635F2A" w:rsidP="007F2602">
      <w:pPr>
        <w:spacing w:line="240" w:lineRule="auto"/>
        <w:ind w:left="425"/>
        <w:jc w:val="both"/>
        <w:rPr>
          <w:color w:val="auto"/>
        </w:rPr>
      </w:pPr>
      <w:r w:rsidRPr="00635F2A">
        <w:rPr>
          <w:color w:val="auto"/>
        </w:rPr>
        <w:t xml:space="preserve">Unless otherwise stated funding is valid for </w:t>
      </w:r>
      <w:r>
        <w:rPr>
          <w:color w:val="auto"/>
        </w:rPr>
        <w:t>24</w:t>
      </w:r>
      <w:r w:rsidRPr="00635F2A">
        <w:rPr>
          <w:color w:val="auto"/>
        </w:rPr>
        <w:t xml:space="preserve"> months from the date of the approval and whilst the patient remains registered with a GP within the </w:t>
      </w:r>
      <w:r>
        <w:rPr>
          <w:color w:val="auto"/>
        </w:rPr>
        <w:t>HNY</w:t>
      </w:r>
      <w:r w:rsidRPr="00635F2A">
        <w:rPr>
          <w:color w:val="auto"/>
        </w:rPr>
        <w:t xml:space="preserve"> ICB area. This general rule is in line with NHS England guidance Who Pays? (2020). The </w:t>
      </w:r>
      <w:r w:rsidR="00B926BD">
        <w:rPr>
          <w:color w:val="auto"/>
        </w:rPr>
        <w:t xml:space="preserve">IFR </w:t>
      </w:r>
      <w:r w:rsidRPr="00635F2A">
        <w:rPr>
          <w:color w:val="auto"/>
        </w:rPr>
        <w:t xml:space="preserve">Panel will confirm where indicated the timescales and clinical information required for review to confirm efficacy, safety, and tolerance to treatment. Where funding for treatment is approved, treatment must commence within </w:t>
      </w:r>
      <w:r>
        <w:rPr>
          <w:color w:val="auto"/>
        </w:rPr>
        <w:t>24</w:t>
      </w:r>
      <w:r w:rsidRPr="00635F2A">
        <w:rPr>
          <w:color w:val="auto"/>
        </w:rPr>
        <w:t xml:space="preserve"> months (usually within 6months) of the date of approval. Clinicians will need to submit a new IFR application if treatments are not started within this time limit.  </w:t>
      </w:r>
    </w:p>
    <w:p w14:paraId="31989AE7" w14:textId="77777777" w:rsidR="00BE1A15" w:rsidRDefault="00BE1A15" w:rsidP="007F2602">
      <w:pPr>
        <w:spacing w:line="240" w:lineRule="auto"/>
        <w:ind w:left="425"/>
        <w:jc w:val="both"/>
        <w:rPr>
          <w:color w:val="auto"/>
        </w:rPr>
      </w:pPr>
    </w:p>
    <w:p w14:paraId="09624A06" w14:textId="77777777" w:rsidR="00152B55" w:rsidRDefault="00152B55" w:rsidP="00152B55">
      <w:pPr>
        <w:spacing w:line="240" w:lineRule="auto"/>
        <w:rPr>
          <w:color w:val="auto"/>
        </w:rPr>
      </w:pPr>
    </w:p>
    <w:p w14:paraId="0E969A91" w14:textId="6230D48D" w:rsidR="00152B55" w:rsidRDefault="00152B55" w:rsidP="00152B55">
      <w:pPr>
        <w:pStyle w:val="Heading2"/>
        <w:spacing w:before="0" w:line="240" w:lineRule="auto"/>
        <w:ind w:left="720" w:hanging="578"/>
      </w:pPr>
      <w:r w:rsidRPr="00152B55">
        <w:t>Decisions Inherited from Other Commissioners</w:t>
      </w:r>
    </w:p>
    <w:p w14:paraId="37D18CFD" w14:textId="6607B36D" w:rsidR="00152B55" w:rsidRPr="007F2602" w:rsidRDefault="007F2602" w:rsidP="007F2602">
      <w:pPr>
        <w:spacing w:line="240" w:lineRule="auto"/>
        <w:ind w:left="425"/>
        <w:jc w:val="both"/>
        <w:rPr>
          <w:color w:val="auto"/>
        </w:rPr>
      </w:pPr>
      <w:r w:rsidRPr="007F2602">
        <w:rPr>
          <w:color w:val="auto"/>
        </w:rPr>
        <w:t xml:space="preserve">Occasionally patients move into the area and become the responsibility of the ICB (by registering with a GP in </w:t>
      </w:r>
      <w:r>
        <w:rPr>
          <w:color w:val="auto"/>
        </w:rPr>
        <w:t>Humber and North Yorkshire</w:t>
      </w:r>
      <w:r w:rsidRPr="007F2602">
        <w:rPr>
          <w:color w:val="auto"/>
        </w:rPr>
        <w:t>) when a package of care or treatment option has already been approved by the ICB that was previously responsible for the patient’s care. The ICB’s policy is that, subject to resource constraints, it will normally agree to continue the treatment providing the care pathway has been initiated by a responsible</w:t>
      </w:r>
      <w:r w:rsidR="00E40B08">
        <w:rPr>
          <w:color w:val="auto"/>
        </w:rPr>
        <w:t xml:space="preserve"> </w:t>
      </w:r>
      <w:r w:rsidRPr="007F2602">
        <w:rPr>
          <w:color w:val="auto"/>
        </w:rPr>
        <w:t xml:space="preserve">clinician and the requested treatment remains clinically appropriate and effective.  </w:t>
      </w:r>
      <w:r w:rsidRPr="000205E4">
        <w:rPr>
          <w:color w:val="auto"/>
        </w:rPr>
        <w:t>The</w:t>
      </w:r>
      <w:r w:rsidRPr="007F2602">
        <w:rPr>
          <w:color w:val="auto"/>
        </w:rPr>
        <w:t xml:space="preserve"> ICB retains the right to ask for a clinical review of treatment and confirmation of ongoing benefit to support ongoing funding.   </w:t>
      </w:r>
    </w:p>
    <w:p w14:paraId="1AC30FD4" w14:textId="77777777" w:rsidR="00152B55" w:rsidRDefault="00152B55" w:rsidP="00152B55">
      <w:pPr>
        <w:spacing w:line="240" w:lineRule="auto"/>
        <w:rPr>
          <w:color w:val="auto"/>
        </w:rPr>
      </w:pPr>
    </w:p>
    <w:p w14:paraId="62F6A563" w14:textId="77BA0C84" w:rsidR="007F2602" w:rsidRDefault="00B270BC" w:rsidP="000205E4">
      <w:pPr>
        <w:pStyle w:val="Heading2"/>
        <w:spacing w:before="0" w:line="240" w:lineRule="auto"/>
        <w:ind w:left="720" w:hanging="578"/>
      </w:pPr>
      <w:r w:rsidRPr="00B270BC">
        <w:t>Personal Health Budgets</w:t>
      </w:r>
    </w:p>
    <w:p w14:paraId="275C5DEE" w14:textId="035C322A" w:rsidR="000205E4" w:rsidRPr="000205E4" w:rsidRDefault="000205E4" w:rsidP="000205E4">
      <w:pPr>
        <w:spacing w:line="240" w:lineRule="auto"/>
        <w:ind w:left="425"/>
        <w:jc w:val="both"/>
        <w:rPr>
          <w:color w:val="auto"/>
        </w:rPr>
      </w:pPr>
      <w:r w:rsidRPr="000205E4">
        <w:rPr>
          <w:color w:val="auto"/>
        </w:rPr>
        <w:t>IFR does not routinely fund equipment, on-going maintenance, or placements in long term care. Personal Health Budget’s and voucher schemes may be available through the Continuing Health Care Team. IFRs should only be submitted for patients with an exceptional healthcare need where it can be demonstrated that the criteria of this IFR policy are met.</w:t>
      </w:r>
    </w:p>
    <w:p w14:paraId="2F0DA216" w14:textId="69CA161F" w:rsidR="00B270BC" w:rsidRDefault="00B270BC" w:rsidP="00152B55">
      <w:pPr>
        <w:spacing w:line="240" w:lineRule="auto"/>
        <w:rPr>
          <w:b/>
          <w:bCs/>
          <w:color w:val="auto"/>
        </w:rPr>
      </w:pPr>
    </w:p>
    <w:p w14:paraId="2AA771FB" w14:textId="7C732FD9" w:rsidR="00726E1D" w:rsidRDefault="00726E1D" w:rsidP="00726E1D">
      <w:pPr>
        <w:pStyle w:val="Heading2"/>
        <w:spacing w:before="0" w:line="240" w:lineRule="auto"/>
        <w:ind w:left="720" w:hanging="578"/>
      </w:pPr>
      <w:r>
        <w:t>Clinical Decisions</w:t>
      </w:r>
    </w:p>
    <w:p w14:paraId="7B38FFE4" w14:textId="05391F6C" w:rsidR="00F779A6" w:rsidRDefault="005A36D0" w:rsidP="00F779A6">
      <w:pPr>
        <w:spacing w:line="240" w:lineRule="auto"/>
        <w:ind w:left="425"/>
        <w:jc w:val="both"/>
        <w:rPr>
          <w:color w:val="auto"/>
        </w:rPr>
      </w:pPr>
      <w:r w:rsidRPr="005A36D0">
        <w:rPr>
          <w:color w:val="auto"/>
        </w:rPr>
        <w:t>The clinical funding process only considers clinical information. Any information that is immaterial to the decision, including information about the social, economic, or personal circumstances of the patient which does not have a direct connection to the patient’s clinical circumstances, shall not be considered</w:t>
      </w:r>
      <w:r>
        <w:rPr>
          <w:color w:val="auto"/>
        </w:rPr>
        <w:t xml:space="preserve">.  </w:t>
      </w:r>
      <w:r w:rsidRPr="005A36D0">
        <w:rPr>
          <w:color w:val="auto"/>
        </w:rPr>
        <w:t xml:space="preserve">The IFR process is clinician </w:t>
      </w:r>
      <w:r w:rsidR="00797A32" w:rsidRPr="005A36D0">
        <w:rPr>
          <w:color w:val="auto"/>
        </w:rPr>
        <w:t>led,</w:t>
      </w:r>
      <w:r w:rsidRPr="005A36D0">
        <w:rPr>
          <w:color w:val="auto"/>
        </w:rPr>
        <w:t xml:space="preserve"> and all applications must be made by </w:t>
      </w:r>
      <w:r w:rsidR="00BD2677" w:rsidRPr="005A36D0">
        <w:rPr>
          <w:color w:val="auto"/>
        </w:rPr>
        <w:t>a</w:t>
      </w:r>
      <w:r w:rsidR="00E40B08">
        <w:rPr>
          <w:color w:val="auto"/>
        </w:rPr>
        <w:t xml:space="preserve"> </w:t>
      </w:r>
      <w:r w:rsidRPr="005A36D0">
        <w:rPr>
          <w:color w:val="auto"/>
        </w:rPr>
        <w:t>clinician. Deliberations at the IFR Panel will be based on evidence of individual clinical exceptionality and will not consider issues relating to social or personal circumstances.  Due to the risk of introducing unconscious bias and inequality on decision making, it is not appropriate for patients to attend the IFR Panel and H</w:t>
      </w:r>
      <w:r w:rsidR="00FC7DA3">
        <w:rPr>
          <w:color w:val="auto"/>
        </w:rPr>
        <w:t>NY</w:t>
      </w:r>
      <w:r w:rsidRPr="005A36D0">
        <w:rPr>
          <w:color w:val="auto"/>
        </w:rPr>
        <w:t xml:space="preserve"> ICB are not legally bound to invite them. </w:t>
      </w:r>
    </w:p>
    <w:p w14:paraId="70E5C6CC" w14:textId="77777777" w:rsidR="00EC38B9" w:rsidRPr="00F779A6" w:rsidRDefault="00EC38B9" w:rsidP="00F779A6">
      <w:pPr>
        <w:spacing w:line="240" w:lineRule="auto"/>
        <w:ind w:left="425"/>
        <w:jc w:val="both"/>
        <w:rPr>
          <w:color w:val="auto"/>
        </w:rPr>
      </w:pPr>
    </w:p>
    <w:p w14:paraId="54BDD838" w14:textId="77777777" w:rsidR="00F779A6" w:rsidRDefault="00F779A6" w:rsidP="00EC38B9">
      <w:pPr>
        <w:pStyle w:val="Heading2"/>
        <w:spacing w:before="0" w:line="240" w:lineRule="auto"/>
        <w:ind w:left="720" w:hanging="578"/>
      </w:pPr>
      <w:bookmarkStart w:id="9" w:name="_Toc172022037"/>
      <w:r>
        <w:t>Clinical exceptionality: severity / failure to respond to standard care</w:t>
      </w:r>
      <w:bookmarkEnd w:id="9"/>
    </w:p>
    <w:p w14:paraId="121CC911" w14:textId="77777777" w:rsidR="00F779A6" w:rsidRPr="00F779A6" w:rsidRDefault="00F779A6" w:rsidP="00F779A6">
      <w:pPr>
        <w:spacing w:line="240" w:lineRule="auto"/>
        <w:ind w:left="425"/>
        <w:jc w:val="both"/>
        <w:rPr>
          <w:color w:val="auto"/>
        </w:rPr>
      </w:pPr>
      <w:r w:rsidRPr="00F779A6">
        <w:rPr>
          <w:color w:val="auto"/>
        </w:rPr>
        <w:t>The fact that a patient has failed to respond to, or is unable to be provided with, all treatment options available for a particular condition (either because of a co-morbidity or because the patient cannot tolerate the side effects of the usual treatment) is unlikely, on its own, to be sufficient to demonstrate exceptional clinical circumstances. There are common co-morbidities for many conditions. Again, these considerations are likely to have been considered in formulating the general policy.</w:t>
      </w:r>
    </w:p>
    <w:p w14:paraId="755A5A27" w14:textId="77777777" w:rsidR="00F779A6" w:rsidRPr="00F779A6" w:rsidRDefault="00F779A6" w:rsidP="00F779A6">
      <w:pPr>
        <w:spacing w:line="240" w:lineRule="auto"/>
        <w:ind w:left="425"/>
        <w:jc w:val="both"/>
        <w:rPr>
          <w:color w:val="auto"/>
        </w:rPr>
      </w:pPr>
    </w:p>
    <w:p w14:paraId="2641873A" w14:textId="77777777" w:rsidR="00F779A6" w:rsidRPr="00F779A6" w:rsidRDefault="00F779A6" w:rsidP="00F779A6">
      <w:pPr>
        <w:spacing w:line="240" w:lineRule="auto"/>
        <w:ind w:left="425"/>
        <w:jc w:val="both"/>
        <w:rPr>
          <w:color w:val="auto"/>
        </w:rPr>
      </w:pPr>
      <w:r w:rsidRPr="00F779A6">
        <w:rPr>
          <w:color w:val="auto"/>
        </w:rPr>
        <w:t>Many conditions are progressive and thus inevitably there will be a more severe form of the condition – severity of a patient’s condition does not in itself usually indicate exceptionality.</w:t>
      </w:r>
    </w:p>
    <w:p w14:paraId="3AED75B1" w14:textId="77777777" w:rsidR="00F779A6" w:rsidRPr="00F779A6" w:rsidRDefault="00F779A6" w:rsidP="00F779A6">
      <w:pPr>
        <w:spacing w:line="240" w:lineRule="auto"/>
        <w:ind w:left="425"/>
        <w:jc w:val="both"/>
        <w:rPr>
          <w:color w:val="auto"/>
        </w:rPr>
      </w:pPr>
    </w:p>
    <w:p w14:paraId="2D9D68D5" w14:textId="3BF36801" w:rsidR="00F779A6" w:rsidRDefault="00F779A6" w:rsidP="00EC38B9">
      <w:pPr>
        <w:spacing w:line="240" w:lineRule="auto"/>
        <w:ind w:left="425"/>
        <w:jc w:val="both"/>
        <w:rPr>
          <w:color w:val="auto"/>
        </w:rPr>
      </w:pPr>
      <w:r w:rsidRPr="00F779A6">
        <w:rPr>
          <w:color w:val="auto"/>
        </w:rPr>
        <w:t>Many treatments have side effects or contraindications, and thus intolerance or contraindication of a treatment does not in itself, usually indicate exceptionality.</w:t>
      </w:r>
    </w:p>
    <w:p w14:paraId="3B47BDD7" w14:textId="77777777" w:rsidR="00EC38B9" w:rsidRPr="00EC38B9" w:rsidRDefault="00EC38B9" w:rsidP="00EC38B9">
      <w:pPr>
        <w:spacing w:line="240" w:lineRule="auto"/>
        <w:ind w:left="425"/>
        <w:jc w:val="both"/>
        <w:rPr>
          <w:color w:val="auto"/>
        </w:rPr>
      </w:pPr>
    </w:p>
    <w:p w14:paraId="0ACB79F7" w14:textId="168F33D3" w:rsidR="00F779A6" w:rsidRPr="00EC38B9" w:rsidRDefault="00F779A6" w:rsidP="00EC38B9">
      <w:pPr>
        <w:spacing w:line="240" w:lineRule="auto"/>
        <w:ind w:left="425"/>
        <w:jc w:val="both"/>
        <w:rPr>
          <w:color w:val="auto"/>
        </w:rPr>
      </w:pPr>
      <w:r w:rsidRPr="00EC38B9">
        <w:rPr>
          <w:color w:val="auto"/>
        </w:rPr>
        <w:t xml:space="preserve">If the proposed intervention is thought to offer a benefit to patients in some groups generally (i.e. those with more severe disease or those with common co-morbidities), the question is whether there is sufficient justification, including consideration of factors such as clinical effectiveness of the treatment in question, likely value for money, priority, and affordability, for making a change to the clinical commissioning policy that covers the patient pathway. In this way, an improvement can be made to that policy to benefit the whole subgroup of patients of which the requesting patient is potentially just one such person. This change needs to be considered as a service development and not as an </w:t>
      </w:r>
      <w:r w:rsidR="00B926BD">
        <w:rPr>
          <w:color w:val="auto"/>
        </w:rPr>
        <w:t>IFR</w:t>
      </w:r>
      <w:r w:rsidRPr="00EC38B9">
        <w:rPr>
          <w:color w:val="auto"/>
        </w:rPr>
        <w:t>.</w:t>
      </w:r>
    </w:p>
    <w:p w14:paraId="3B12B041" w14:textId="77777777" w:rsidR="00F779A6" w:rsidRDefault="00F779A6" w:rsidP="00F779A6"/>
    <w:p w14:paraId="570077F1" w14:textId="77777777" w:rsidR="00F779A6" w:rsidRDefault="00F779A6" w:rsidP="00EC38B9">
      <w:pPr>
        <w:pStyle w:val="Heading2"/>
        <w:spacing w:before="0" w:line="240" w:lineRule="auto"/>
        <w:ind w:left="720" w:hanging="578"/>
      </w:pPr>
      <w:bookmarkStart w:id="10" w:name="_Toc172022038"/>
      <w:r>
        <w:t>Clinical exceptionality: genotypes</w:t>
      </w:r>
      <w:bookmarkEnd w:id="10"/>
    </w:p>
    <w:p w14:paraId="48063995" w14:textId="36E84A90" w:rsidR="00F779A6" w:rsidRPr="00EC38B9" w:rsidRDefault="00F779A6" w:rsidP="00EC38B9">
      <w:pPr>
        <w:spacing w:line="240" w:lineRule="auto"/>
        <w:ind w:left="425"/>
        <w:jc w:val="both"/>
        <w:rPr>
          <w:color w:val="auto"/>
        </w:rPr>
      </w:pPr>
      <w:r w:rsidRPr="00EC38B9">
        <w:rPr>
          <w:color w:val="auto"/>
        </w:rPr>
        <w:t xml:space="preserve">When the argument for clinical exceptionality is based on the patient having a specific genotype (genetic profile), the </w:t>
      </w:r>
      <w:r w:rsidR="00B926BD">
        <w:rPr>
          <w:color w:val="auto"/>
        </w:rPr>
        <w:t>IFR Panel</w:t>
      </w:r>
      <w:r w:rsidRPr="00EC38B9">
        <w:rPr>
          <w:color w:val="auto"/>
        </w:rPr>
        <w:t xml:space="preserve"> will require evidence of the prevalence of the genotype in the patient group. The applicant will need to show how the specific genotype would make the patient different to others in terms of clinical management and able to benefit from the treatment to a greater degree than others with the same or different symptoms of the condition.</w:t>
      </w:r>
    </w:p>
    <w:p w14:paraId="31DBEB96" w14:textId="77777777" w:rsidR="00F779A6" w:rsidRDefault="00F779A6" w:rsidP="00F779A6"/>
    <w:p w14:paraId="5CE9A6E4" w14:textId="77777777" w:rsidR="00F779A6" w:rsidRDefault="00F779A6" w:rsidP="00EC38B9">
      <w:pPr>
        <w:pStyle w:val="Heading2"/>
        <w:spacing w:before="0" w:line="240" w:lineRule="auto"/>
        <w:ind w:left="720" w:hanging="578"/>
      </w:pPr>
      <w:bookmarkStart w:id="11" w:name="_Toc172022039"/>
      <w:r>
        <w:t>Clinical exceptionality: multiple grounds</w:t>
      </w:r>
      <w:bookmarkEnd w:id="11"/>
    </w:p>
    <w:p w14:paraId="0AB46B06" w14:textId="0B9E06B4" w:rsidR="00F779A6" w:rsidRPr="00EC38B9" w:rsidRDefault="00F779A6" w:rsidP="00EC38B9">
      <w:pPr>
        <w:spacing w:line="240" w:lineRule="auto"/>
        <w:ind w:left="425"/>
        <w:jc w:val="both"/>
        <w:rPr>
          <w:color w:val="auto"/>
        </w:rPr>
      </w:pPr>
      <w:r w:rsidRPr="00EC38B9">
        <w:rPr>
          <w:color w:val="auto"/>
        </w:rPr>
        <w:t xml:space="preserve">There may be cases where clinicians seek to rely on multiple factors to show that their case is clinically exceptional. In such cases each factor will be looked at individually to determine whether the factor is capable, potentially, of making the case exceptional and whether it does in fact make the patient’s case exceptional. One factor may be incapable of supporting a case of exceptionality (and should therefore be ignored), but it might be relevant on another factor. That is a judgment within the discretion of the </w:t>
      </w:r>
      <w:r w:rsidR="00B926BD">
        <w:rPr>
          <w:color w:val="auto"/>
        </w:rPr>
        <w:t>IFR Panel.</w:t>
      </w:r>
    </w:p>
    <w:p w14:paraId="467A71C3" w14:textId="77777777" w:rsidR="00F779A6" w:rsidRPr="00EC38B9" w:rsidRDefault="00F779A6" w:rsidP="00EC38B9">
      <w:pPr>
        <w:spacing w:line="240" w:lineRule="auto"/>
        <w:ind w:left="425"/>
        <w:jc w:val="both"/>
        <w:rPr>
          <w:color w:val="auto"/>
        </w:rPr>
      </w:pPr>
    </w:p>
    <w:p w14:paraId="626B2299" w14:textId="77777777" w:rsidR="00F779A6" w:rsidRPr="00EC38B9" w:rsidRDefault="00F779A6" w:rsidP="00EC38B9">
      <w:pPr>
        <w:spacing w:line="240" w:lineRule="auto"/>
        <w:ind w:left="425"/>
        <w:jc w:val="both"/>
        <w:rPr>
          <w:color w:val="auto"/>
        </w:rPr>
      </w:pPr>
      <w:r w:rsidRPr="00EC38B9">
        <w:rPr>
          <w:color w:val="auto"/>
        </w:rPr>
        <w:t>If it is determined that none of the individual factors on their own mean that the patient’s clinical circumstances are considered exceptional, the combined effect of those factors will be considered. In this way a decision can be reached on whether the patient’s clinical circumstances are exceptional, bearing in mind the difference between the range of factors that can always be found between individuals and the definitions used here of exceptional clinical circumstances.</w:t>
      </w:r>
    </w:p>
    <w:p w14:paraId="431B42D7" w14:textId="77777777" w:rsidR="00F779A6" w:rsidRDefault="00F779A6" w:rsidP="00F779A6"/>
    <w:p w14:paraId="07E0043B" w14:textId="77777777" w:rsidR="00F779A6" w:rsidRDefault="00F779A6" w:rsidP="00EC38B9">
      <w:pPr>
        <w:pStyle w:val="Heading2"/>
        <w:spacing w:before="0" w:line="240" w:lineRule="auto"/>
        <w:ind w:left="720" w:hanging="578"/>
      </w:pPr>
      <w:bookmarkStart w:id="12" w:name="_Toc172022040"/>
      <w:r>
        <w:t>Clinical exceptionality: non-clinical, psychological, and social factors</w:t>
      </w:r>
      <w:bookmarkEnd w:id="12"/>
    </w:p>
    <w:p w14:paraId="380F01E8" w14:textId="77777777" w:rsidR="00F779A6" w:rsidRPr="00EC38B9" w:rsidRDefault="00F779A6" w:rsidP="00EC38B9">
      <w:pPr>
        <w:spacing w:line="240" w:lineRule="auto"/>
        <w:ind w:left="425"/>
        <w:jc w:val="both"/>
        <w:rPr>
          <w:color w:val="auto"/>
        </w:rPr>
      </w:pPr>
      <w:r w:rsidRPr="00EC38B9">
        <w:rPr>
          <w:color w:val="auto"/>
        </w:rPr>
        <w:t>The individual funding requests process only considers clinical information. Although initially it may seem reasonable to fund treatment based on reasons grounded in a moral or compassionate view of the case or because of the individual’s situation, background, ambition in life, occupation or family circumstances, consideration of these non-clinical factors would introduce this concept of ‘worth’ into clinical decision making.</w:t>
      </w:r>
    </w:p>
    <w:p w14:paraId="32C8FD25" w14:textId="77777777" w:rsidR="00F779A6" w:rsidRPr="00EC38B9" w:rsidRDefault="00F779A6" w:rsidP="00EC38B9">
      <w:pPr>
        <w:spacing w:line="240" w:lineRule="auto"/>
        <w:ind w:left="425"/>
        <w:jc w:val="both"/>
        <w:rPr>
          <w:color w:val="auto"/>
        </w:rPr>
      </w:pPr>
    </w:p>
    <w:p w14:paraId="63A44271" w14:textId="77777777" w:rsidR="00F779A6" w:rsidRPr="00EC38B9" w:rsidRDefault="00F779A6" w:rsidP="00EC38B9">
      <w:pPr>
        <w:spacing w:line="240" w:lineRule="auto"/>
        <w:ind w:left="425"/>
        <w:jc w:val="both"/>
        <w:rPr>
          <w:color w:val="auto"/>
        </w:rPr>
      </w:pPr>
      <w:r w:rsidRPr="00EC38B9">
        <w:rPr>
          <w:color w:val="auto"/>
        </w:rPr>
        <w:t>As a central principle, the NHS does not make judgements about the worth of different individuals and seeks to treat everyone fairly and equitably. It is a core value that NHS care is available - or unavailable - equally to all. Whilst everyone’s individual circumstances are, by definition, unique and on compassionate grounds, reasons can always be advanced to support a case for funding, it is likely that the same or similar arguments could be made for all or many of the patients who cannot routinely access the care requested.</w:t>
      </w:r>
    </w:p>
    <w:p w14:paraId="2F95C643" w14:textId="77777777" w:rsidR="00F779A6" w:rsidRPr="00EC38B9" w:rsidRDefault="00F779A6" w:rsidP="00EC38B9">
      <w:pPr>
        <w:spacing w:line="240" w:lineRule="auto"/>
        <w:ind w:left="425"/>
        <w:jc w:val="both"/>
        <w:rPr>
          <w:color w:val="auto"/>
        </w:rPr>
      </w:pPr>
    </w:p>
    <w:p w14:paraId="1FE3D0AF" w14:textId="0087579D" w:rsidR="00F779A6" w:rsidRPr="00EC38B9" w:rsidRDefault="00F779A6" w:rsidP="00EC38B9">
      <w:pPr>
        <w:spacing w:line="240" w:lineRule="auto"/>
        <w:ind w:left="425"/>
        <w:jc w:val="both"/>
        <w:rPr>
          <w:color w:val="auto"/>
        </w:rPr>
      </w:pPr>
      <w:r w:rsidRPr="00EC38B9">
        <w:rPr>
          <w:color w:val="auto"/>
        </w:rPr>
        <w:t xml:space="preserve">Therefore, non-clinical, psychological, and social factors must be disregarded for this purpose for the </w:t>
      </w:r>
      <w:r w:rsidR="00B926BD">
        <w:rPr>
          <w:color w:val="auto"/>
        </w:rPr>
        <w:t>IFR Panel</w:t>
      </w:r>
      <w:r w:rsidRPr="00EC38B9">
        <w:rPr>
          <w:color w:val="auto"/>
        </w:rPr>
        <w:t>, to be confident of dealing in a fair manner in comparable cases.</w:t>
      </w:r>
    </w:p>
    <w:p w14:paraId="01C982F9" w14:textId="77777777" w:rsidR="00F779A6" w:rsidRPr="00EC38B9" w:rsidRDefault="00F779A6" w:rsidP="00EC38B9">
      <w:pPr>
        <w:spacing w:line="240" w:lineRule="auto"/>
        <w:ind w:left="425"/>
        <w:jc w:val="both"/>
        <w:rPr>
          <w:color w:val="auto"/>
        </w:rPr>
      </w:pPr>
    </w:p>
    <w:p w14:paraId="2AB2432E" w14:textId="77777777" w:rsidR="00F779A6" w:rsidRPr="00EC38B9" w:rsidRDefault="00F779A6" w:rsidP="00EC38B9">
      <w:pPr>
        <w:spacing w:line="240" w:lineRule="auto"/>
        <w:ind w:left="425"/>
        <w:jc w:val="both"/>
        <w:rPr>
          <w:color w:val="auto"/>
        </w:rPr>
      </w:pPr>
      <w:r w:rsidRPr="00EC38B9">
        <w:rPr>
          <w:color w:val="auto"/>
        </w:rPr>
        <w:t>Consideration of social factors would also be contrary to policy of non-discrimination in the provision of medical treatment. If, for example, treatment was to be provided on the grounds that this would enable an individual to stay in paid work, this would potentially discriminate in favour of those working compared to those not working. These are value judgements which the individual funding requests panel should not make.</w:t>
      </w:r>
    </w:p>
    <w:p w14:paraId="13C80273" w14:textId="77777777" w:rsidR="00F779A6" w:rsidRPr="00EC38B9" w:rsidRDefault="00F779A6" w:rsidP="00EC38B9">
      <w:pPr>
        <w:spacing w:line="240" w:lineRule="auto"/>
        <w:ind w:left="425"/>
        <w:jc w:val="both"/>
        <w:rPr>
          <w:color w:val="auto"/>
        </w:rPr>
      </w:pPr>
    </w:p>
    <w:p w14:paraId="7B12ABDF" w14:textId="77777777" w:rsidR="00F779A6" w:rsidRDefault="00F779A6" w:rsidP="00EC38B9">
      <w:pPr>
        <w:spacing w:line="240" w:lineRule="auto"/>
        <w:ind w:left="425"/>
        <w:jc w:val="both"/>
        <w:rPr>
          <w:color w:val="auto"/>
        </w:rPr>
      </w:pPr>
      <w:r w:rsidRPr="00EC38B9">
        <w:rPr>
          <w:color w:val="auto"/>
        </w:rPr>
        <w:t>Clinicians / healthcare professionals are asked to bear this policy in mind and not to refer to psychological, social, or non-clinical factors to seek to support the application for individual funding.</w:t>
      </w:r>
    </w:p>
    <w:p w14:paraId="4419CDA0" w14:textId="77777777" w:rsidR="005B7DA3" w:rsidRDefault="005B7DA3" w:rsidP="00EC38B9">
      <w:pPr>
        <w:spacing w:line="240" w:lineRule="auto"/>
        <w:ind w:left="425"/>
        <w:jc w:val="both"/>
        <w:rPr>
          <w:color w:val="auto"/>
        </w:rPr>
      </w:pPr>
    </w:p>
    <w:p w14:paraId="05980C1A" w14:textId="77777777" w:rsidR="00F37E05" w:rsidRDefault="00F37E05" w:rsidP="00E40B08">
      <w:pPr>
        <w:spacing w:line="240" w:lineRule="auto"/>
        <w:jc w:val="both"/>
        <w:rPr>
          <w:color w:val="auto"/>
        </w:rPr>
      </w:pPr>
    </w:p>
    <w:p w14:paraId="0229DAB6" w14:textId="49705AB4" w:rsidR="00F37E05" w:rsidRDefault="00F37E05" w:rsidP="002428E1">
      <w:pPr>
        <w:pStyle w:val="Heading2"/>
        <w:spacing w:before="0" w:line="240" w:lineRule="auto"/>
        <w:ind w:left="720" w:hanging="578"/>
      </w:pPr>
      <w:r w:rsidRPr="00F37E05">
        <w:t>Clinical Effectiveness</w:t>
      </w:r>
    </w:p>
    <w:p w14:paraId="13F7526D" w14:textId="77777777" w:rsidR="004A2CC3" w:rsidRDefault="002428E1" w:rsidP="00EC38B9">
      <w:pPr>
        <w:spacing w:line="240" w:lineRule="auto"/>
        <w:ind w:left="425"/>
        <w:jc w:val="both"/>
        <w:rPr>
          <w:color w:val="auto"/>
        </w:rPr>
      </w:pPr>
      <w:r w:rsidRPr="002428E1">
        <w:rPr>
          <w:color w:val="auto"/>
        </w:rPr>
        <w:t xml:space="preserve">Clinical effectiveness is a measure of the extent to which a treatment achieves pre-defined clinical outcomes in a specific group of patients. </w:t>
      </w:r>
    </w:p>
    <w:p w14:paraId="35BF9C2E" w14:textId="77777777" w:rsidR="004A2CC3" w:rsidRDefault="004A2CC3" w:rsidP="00EC38B9">
      <w:pPr>
        <w:spacing w:line="240" w:lineRule="auto"/>
        <w:ind w:left="425"/>
        <w:jc w:val="both"/>
        <w:rPr>
          <w:color w:val="auto"/>
        </w:rPr>
      </w:pPr>
    </w:p>
    <w:p w14:paraId="1B3A80B6" w14:textId="69DBABDC" w:rsidR="00CC1249" w:rsidRDefault="002428E1" w:rsidP="00EC38B9">
      <w:pPr>
        <w:spacing w:line="240" w:lineRule="auto"/>
        <w:ind w:left="425"/>
        <w:jc w:val="both"/>
        <w:rPr>
          <w:color w:val="auto"/>
        </w:rPr>
      </w:pPr>
      <w:r w:rsidRPr="002428E1">
        <w:rPr>
          <w:color w:val="auto"/>
        </w:rPr>
        <w:t xml:space="preserve">Clinical evidence that considers the efficacy of a particular treatment will be carefully considered by the IFR </w:t>
      </w:r>
      <w:r w:rsidR="00832B9B">
        <w:rPr>
          <w:color w:val="auto"/>
        </w:rPr>
        <w:t>Panel</w:t>
      </w:r>
      <w:r w:rsidRPr="002428E1">
        <w:rPr>
          <w:color w:val="auto"/>
        </w:rPr>
        <w:t xml:space="preserve">. It is the sole responsibility of the referring clinician to provide this information and the IFR team will not be responsible for undertaking any evidence searches. </w:t>
      </w:r>
    </w:p>
    <w:p w14:paraId="7935CC14" w14:textId="77777777" w:rsidR="00CC1249" w:rsidRDefault="00CC1249" w:rsidP="00EC38B9">
      <w:pPr>
        <w:spacing w:line="240" w:lineRule="auto"/>
        <w:ind w:left="425"/>
        <w:jc w:val="both"/>
        <w:rPr>
          <w:color w:val="auto"/>
        </w:rPr>
      </w:pPr>
    </w:p>
    <w:p w14:paraId="006DCE10" w14:textId="77777777" w:rsidR="00DD7F69" w:rsidRDefault="002428E1" w:rsidP="00EC38B9">
      <w:pPr>
        <w:spacing w:line="240" w:lineRule="auto"/>
        <w:ind w:left="425"/>
        <w:jc w:val="both"/>
        <w:rPr>
          <w:color w:val="auto"/>
        </w:rPr>
      </w:pPr>
      <w:r w:rsidRPr="002428E1">
        <w:rPr>
          <w:color w:val="auto"/>
        </w:rPr>
        <w:t xml:space="preserve">Inevitably, the evidence base put forward in support of an IFR is unlikely to be as robust as in more common presentations of the condition or the more usual use of the treatment. However, it is important that the referring clinician makes explicit linkages between the grounds under which exceptionality is claimed and the sections of the submitted research literature that are considered to support the clinician's view regarding the differences between the patient's clinical position and that of other patients in the group, and regarding the patient's anticipated response to the requested treatment. </w:t>
      </w:r>
    </w:p>
    <w:p w14:paraId="48A4C3E4" w14:textId="77777777" w:rsidR="00DD7F69" w:rsidRDefault="00DD7F69" w:rsidP="00EC38B9">
      <w:pPr>
        <w:spacing w:line="240" w:lineRule="auto"/>
        <w:ind w:left="425"/>
        <w:jc w:val="both"/>
        <w:rPr>
          <w:color w:val="auto"/>
        </w:rPr>
      </w:pPr>
    </w:p>
    <w:p w14:paraId="2F7C8FBE" w14:textId="77777777" w:rsidR="00DD7F69" w:rsidRDefault="002428E1" w:rsidP="00EC38B9">
      <w:pPr>
        <w:spacing w:line="240" w:lineRule="auto"/>
        <w:ind w:left="425"/>
        <w:jc w:val="both"/>
        <w:rPr>
          <w:color w:val="auto"/>
        </w:rPr>
      </w:pPr>
      <w:r w:rsidRPr="002428E1">
        <w:rPr>
          <w:color w:val="auto"/>
        </w:rPr>
        <w:t>When considering clinical effectiveness, the IFR Panel will consider:</w:t>
      </w:r>
    </w:p>
    <w:p w14:paraId="35990599" w14:textId="77777777" w:rsidR="00DD7F69" w:rsidRDefault="002428E1" w:rsidP="001037B4">
      <w:pPr>
        <w:pStyle w:val="ListParagraph"/>
        <w:numPr>
          <w:ilvl w:val="0"/>
          <w:numId w:val="12"/>
        </w:numPr>
        <w:spacing w:line="240" w:lineRule="auto"/>
        <w:jc w:val="both"/>
        <w:rPr>
          <w:color w:val="auto"/>
        </w:rPr>
      </w:pPr>
      <w:r w:rsidRPr="00DD7F69">
        <w:rPr>
          <w:color w:val="auto"/>
        </w:rPr>
        <w:t>How closely the patient matches the patient population from whom the results are derived in any study relied on by the clinician.</w:t>
      </w:r>
    </w:p>
    <w:p w14:paraId="7DA158AD" w14:textId="77777777" w:rsidR="00DD7F69" w:rsidRDefault="002428E1" w:rsidP="001037B4">
      <w:pPr>
        <w:pStyle w:val="ListParagraph"/>
        <w:numPr>
          <w:ilvl w:val="0"/>
          <w:numId w:val="12"/>
        </w:numPr>
        <w:spacing w:line="240" w:lineRule="auto"/>
        <w:jc w:val="both"/>
        <w:rPr>
          <w:color w:val="auto"/>
        </w:rPr>
      </w:pPr>
      <w:r w:rsidRPr="00DD7F69">
        <w:rPr>
          <w:color w:val="auto"/>
        </w:rPr>
        <w:t>The plausibility of the argument that the patient will achieve the anticipated outcomes from treatment, based on the evidence supplied.</w:t>
      </w:r>
    </w:p>
    <w:p w14:paraId="4E5A905D" w14:textId="77777777" w:rsidR="00DD7F69" w:rsidRDefault="002428E1" w:rsidP="001037B4">
      <w:pPr>
        <w:pStyle w:val="ListParagraph"/>
        <w:numPr>
          <w:ilvl w:val="0"/>
          <w:numId w:val="12"/>
        </w:numPr>
        <w:spacing w:line="240" w:lineRule="auto"/>
        <w:jc w:val="both"/>
        <w:rPr>
          <w:color w:val="auto"/>
        </w:rPr>
      </w:pPr>
      <w:r w:rsidRPr="00DD7F69">
        <w:rPr>
          <w:color w:val="auto"/>
        </w:rPr>
        <w:t>The impact of existing co-morbidities on both the claim for exceptionality and treatment outcome</w:t>
      </w:r>
      <w:r w:rsidR="00DD7F69">
        <w:rPr>
          <w:color w:val="auto"/>
        </w:rPr>
        <w:t>.</w:t>
      </w:r>
    </w:p>
    <w:p w14:paraId="36F50517" w14:textId="77777777" w:rsidR="00DD7F69" w:rsidRDefault="002428E1" w:rsidP="001037B4">
      <w:pPr>
        <w:pStyle w:val="ListParagraph"/>
        <w:numPr>
          <w:ilvl w:val="0"/>
          <w:numId w:val="12"/>
        </w:numPr>
        <w:spacing w:line="240" w:lineRule="auto"/>
        <w:jc w:val="both"/>
        <w:rPr>
          <w:color w:val="auto"/>
        </w:rPr>
      </w:pPr>
      <w:r w:rsidRPr="00DD7F69">
        <w:rPr>
          <w:color w:val="auto"/>
        </w:rPr>
        <w:t>Any complications and adverse events of the treatment including toxicity and rates of relapse. The panel will take account of side effects when considering the benefits from the treatment.</w:t>
      </w:r>
    </w:p>
    <w:p w14:paraId="7001881D" w14:textId="77777777" w:rsidR="00DD7F69" w:rsidRDefault="002428E1" w:rsidP="001037B4">
      <w:pPr>
        <w:pStyle w:val="ListParagraph"/>
        <w:numPr>
          <w:ilvl w:val="0"/>
          <w:numId w:val="12"/>
        </w:numPr>
        <w:spacing w:line="240" w:lineRule="auto"/>
        <w:jc w:val="both"/>
        <w:rPr>
          <w:color w:val="auto"/>
        </w:rPr>
      </w:pPr>
      <w:r w:rsidRPr="00DD7F69">
        <w:rPr>
          <w:color w:val="auto"/>
        </w:rPr>
        <w:t xml:space="preserve">The likely impact of the treatment on </w:t>
      </w:r>
      <w:proofErr w:type="gramStart"/>
      <w:r w:rsidRPr="00DD7F69">
        <w:rPr>
          <w:color w:val="auto"/>
        </w:rPr>
        <w:t>quality of life</w:t>
      </w:r>
      <w:proofErr w:type="gramEnd"/>
      <w:r w:rsidRPr="00DD7F69">
        <w:rPr>
          <w:color w:val="auto"/>
        </w:rPr>
        <w:t xml:space="preserve"> using information as available.</w:t>
      </w:r>
    </w:p>
    <w:p w14:paraId="65CB75BA" w14:textId="74F4D7A3" w:rsidR="00F37E05" w:rsidRDefault="002428E1" w:rsidP="001037B4">
      <w:pPr>
        <w:pStyle w:val="ListParagraph"/>
        <w:numPr>
          <w:ilvl w:val="0"/>
          <w:numId w:val="12"/>
        </w:numPr>
        <w:spacing w:line="240" w:lineRule="auto"/>
        <w:jc w:val="both"/>
        <w:rPr>
          <w:color w:val="auto"/>
        </w:rPr>
      </w:pPr>
      <w:r w:rsidRPr="00DD7F69">
        <w:rPr>
          <w:color w:val="auto"/>
        </w:rPr>
        <w:t>Reported treatment outcomes and their durability over the short, medium, and longer term, as relevant to the nature of the condition. The requesting clinician must demonstrate why they consider that the proposed treatment will be effective for the whole period for which it will be given.</w:t>
      </w:r>
    </w:p>
    <w:p w14:paraId="517080E9" w14:textId="77777777" w:rsidR="00252ADF" w:rsidRDefault="00252ADF" w:rsidP="00252ADF">
      <w:pPr>
        <w:spacing w:line="240" w:lineRule="auto"/>
        <w:jc w:val="both"/>
        <w:rPr>
          <w:color w:val="auto"/>
        </w:rPr>
      </w:pPr>
    </w:p>
    <w:p w14:paraId="5D7AAC84" w14:textId="075D4A93" w:rsidR="00252ADF" w:rsidRDefault="00C73BC4" w:rsidP="00C73BC4">
      <w:pPr>
        <w:pStyle w:val="Heading2"/>
        <w:spacing w:before="0" w:line="240" w:lineRule="auto"/>
        <w:ind w:left="720" w:hanging="578"/>
      </w:pPr>
      <w:r w:rsidRPr="00C73BC4">
        <w:t>Good use of NHS Resources</w:t>
      </w:r>
    </w:p>
    <w:p w14:paraId="3B1AF642" w14:textId="77777777" w:rsidR="00B67514" w:rsidRDefault="00B67514" w:rsidP="00B67514">
      <w:pPr>
        <w:spacing w:line="240" w:lineRule="auto"/>
        <w:ind w:left="425"/>
        <w:jc w:val="both"/>
        <w:rPr>
          <w:color w:val="auto"/>
        </w:rPr>
      </w:pPr>
      <w:r w:rsidRPr="00B67514">
        <w:rPr>
          <w:color w:val="auto"/>
        </w:rPr>
        <w:t xml:space="preserve">The requesting clinician will be expected to explain why they consider the treatment for which funding has been applied for will be a good use of NHS resources. </w:t>
      </w:r>
    </w:p>
    <w:p w14:paraId="2A7CE729" w14:textId="77777777" w:rsidR="00B67514" w:rsidRDefault="00B67514" w:rsidP="00B67514">
      <w:pPr>
        <w:spacing w:line="240" w:lineRule="auto"/>
        <w:ind w:left="425"/>
        <w:jc w:val="both"/>
        <w:rPr>
          <w:color w:val="auto"/>
        </w:rPr>
      </w:pPr>
    </w:p>
    <w:p w14:paraId="2EC43E72" w14:textId="140CA64E" w:rsidR="00B67514" w:rsidRDefault="00B67514" w:rsidP="00B67514">
      <w:pPr>
        <w:spacing w:line="240" w:lineRule="auto"/>
        <w:ind w:left="425"/>
        <w:jc w:val="both"/>
        <w:rPr>
          <w:color w:val="auto"/>
        </w:rPr>
      </w:pPr>
      <w:r w:rsidRPr="00B67514">
        <w:rPr>
          <w:color w:val="auto"/>
        </w:rPr>
        <w:t xml:space="preserve">This criterion is only applied where the IFR Panel has already concluded that the criteria of clinical exceptionality and clinical effectiveness have been met. Against this criterion the IFR </w:t>
      </w:r>
      <w:r w:rsidR="00595BA4">
        <w:rPr>
          <w:color w:val="auto"/>
        </w:rPr>
        <w:t>Panel</w:t>
      </w:r>
      <w:r w:rsidRPr="00B67514">
        <w:rPr>
          <w:color w:val="auto"/>
        </w:rPr>
        <w:t xml:space="preserve"> balances the degree of benefit likely to be obtained for the patient from funding the treatment against cost. </w:t>
      </w:r>
    </w:p>
    <w:p w14:paraId="3DDBA35F" w14:textId="77777777" w:rsidR="00B67514" w:rsidRDefault="00B67514" w:rsidP="00B67514">
      <w:pPr>
        <w:spacing w:line="240" w:lineRule="auto"/>
        <w:ind w:left="425"/>
        <w:jc w:val="both"/>
        <w:rPr>
          <w:color w:val="auto"/>
        </w:rPr>
      </w:pPr>
    </w:p>
    <w:p w14:paraId="7D1B61E1" w14:textId="7A6C6D51" w:rsidR="005124EF" w:rsidRDefault="00B67514" w:rsidP="00B67514">
      <w:pPr>
        <w:spacing w:line="240" w:lineRule="auto"/>
        <w:ind w:left="425"/>
        <w:jc w:val="both"/>
        <w:rPr>
          <w:color w:val="auto"/>
        </w:rPr>
      </w:pPr>
      <w:r w:rsidRPr="00B67514">
        <w:rPr>
          <w:color w:val="auto"/>
        </w:rPr>
        <w:t xml:space="preserve">Having regard to the evidence submitted and the analysis they have carried out when considering clinical exceptionality and clinical effectiveness, the IFR </w:t>
      </w:r>
      <w:r w:rsidR="00595BA4">
        <w:rPr>
          <w:color w:val="auto"/>
        </w:rPr>
        <w:t>Panel</w:t>
      </w:r>
      <w:r w:rsidRPr="00B67514">
        <w:rPr>
          <w:color w:val="auto"/>
        </w:rPr>
        <w:t xml:space="preserve"> will consider the nature and extent of the benefit the patient is likely to gain from the treatment, the certainty or otherwise of the anticipated outcome from the treatment and the opportunity costs for funding the treatment. This means considering, for example, how significant a benefit is likely to be gained for the patient, and for how long that benefit will last. These factors need to be balanced against the cost of the treatment and the impact on other patients of withdrawing funding from other areas in order to fulfil the IFR.  </w:t>
      </w:r>
    </w:p>
    <w:p w14:paraId="1DAC2417" w14:textId="77777777" w:rsidR="005124EF" w:rsidRDefault="005124EF" w:rsidP="008C6AE4">
      <w:pPr>
        <w:spacing w:line="240" w:lineRule="auto"/>
        <w:jc w:val="both"/>
        <w:rPr>
          <w:color w:val="auto"/>
        </w:rPr>
      </w:pPr>
    </w:p>
    <w:p w14:paraId="34231FDA" w14:textId="77777777" w:rsidR="00462E21" w:rsidRDefault="00B67514" w:rsidP="00B67514">
      <w:pPr>
        <w:spacing w:line="240" w:lineRule="auto"/>
        <w:ind w:left="425"/>
        <w:jc w:val="both"/>
        <w:rPr>
          <w:color w:val="auto"/>
        </w:rPr>
      </w:pPr>
      <w:r w:rsidRPr="00B67514">
        <w:rPr>
          <w:color w:val="auto"/>
        </w:rPr>
        <w:t xml:space="preserve">When determining whether a treatment would be a good use of NHS resources it is very important to consider the length of time for which funding of a treatment is being requested, in relation to the duration of the evidenced efficacy of the treatment i.e., whether the clinical evidence indicates short-, medium-, or long-term effectiveness of a particular treatment. </w:t>
      </w:r>
    </w:p>
    <w:p w14:paraId="18E0E927" w14:textId="77777777" w:rsidR="00C73BC4" w:rsidRPr="00B67514" w:rsidRDefault="00C73BC4" w:rsidP="000416D9">
      <w:pPr>
        <w:spacing w:line="240" w:lineRule="auto"/>
        <w:jc w:val="both"/>
        <w:rPr>
          <w:b/>
          <w:bCs/>
          <w:color w:val="auto"/>
        </w:rPr>
      </w:pPr>
    </w:p>
    <w:p w14:paraId="0E7B7091" w14:textId="583CF9FD" w:rsidR="00612F3C" w:rsidRDefault="00612F3C" w:rsidP="00612F3C">
      <w:pPr>
        <w:pStyle w:val="Heading2"/>
        <w:spacing w:before="0" w:line="240" w:lineRule="auto"/>
        <w:ind w:left="720" w:hanging="578"/>
      </w:pPr>
      <w:bookmarkStart w:id="13" w:name="_Toc172022041"/>
      <w:r>
        <w:t>Pain</w:t>
      </w:r>
      <w:bookmarkEnd w:id="13"/>
    </w:p>
    <w:p w14:paraId="309A22E0" w14:textId="77777777" w:rsidR="00612F3C" w:rsidRPr="00612F3C" w:rsidRDefault="00612F3C" w:rsidP="00612F3C">
      <w:pPr>
        <w:spacing w:line="240" w:lineRule="auto"/>
        <w:ind w:left="425"/>
        <w:jc w:val="both"/>
        <w:rPr>
          <w:color w:val="auto"/>
        </w:rPr>
      </w:pPr>
      <w:r w:rsidRPr="00612F3C">
        <w:rPr>
          <w:color w:val="auto"/>
        </w:rPr>
        <w:t>Pain has been defined as an ‘unpleasant sensory and emotional experience arising from actual or potential tissue damage’ with clinical pain being ‘whatever the person says he or she is experiencing whenever he or she says it occurs’ and is therefore subjective.</w:t>
      </w:r>
    </w:p>
    <w:p w14:paraId="2438A7B2" w14:textId="77777777" w:rsidR="00612F3C" w:rsidRPr="00612F3C" w:rsidRDefault="00612F3C" w:rsidP="00612F3C">
      <w:pPr>
        <w:spacing w:line="240" w:lineRule="auto"/>
        <w:ind w:left="425"/>
        <w:jc w:val="both"/>
        <w:rPr>
          <w:color w:val="auto"/>
        </w:rPr>
      </w:pPr>
    </w:p>
    <w:p w14:paraId="2C86139C" w14:textId="77777777" w:rsidR="00612F3C" w:rsidRPr="00612F3C" w:rsidRDefault="00612F3C" w:rsidP="00612F3C">
      <w:pPr>
        <w:spacing w:line="240" w:lineRule="auto"/>
        <w:ind w:left="425"/>
        <w:jc w:val="both"/>
        <w:rPr>
          <w:color w:val="auto"/>
        </w:rPr>
      </w:pPr>
      <w:r w:rsidRPr="00612F3C">
        <w:rPr>
          <w:color w:val="auto"/>
        </w:rPr>
        <w:t>There is insufficient evidence to use questionnaire derived scores to evidence pain in individuals. Therefore, in lieu of a standard assessment tool, alternative clear and objective evidence must be provided when demonstrating patient pain and significant functional impairments / limitations to activities of daily living.</w:t>
      </w:r>
    </w:p>
    <w:p w14:paraId="2EAB0723" w14:textId="77777777" w:rsidR="00612F3C" w:rsidRPr="00612F3C" w:rsidRDefault="00612F3C" w:rsidP="00612F3C">
      <w:pPr>
        <w:spacing w:line="240" w:lineRule="auto"/>
        <w:ind w:left="425"/>
        <w:jc w:val="both"/>
        <w:rPr>
          <w:color w:val="auto"/>
        </w:rPr>
      </w:pPr>
    </w:p>
    <w:p w14:paraId="5D2C9F42" w14:textId="77777777" w:rsidR="00F17CC6" w:rsidRDefault="00612F3C" w:rsidP="00F17CC6">
      <w:pPr>
        <w:spacing w:line="240" w:lineRule="auto"/>
        <w:ind w:left="425"/>
        <w:jc w:val="both"/>
        <w:rPr>
          <w:color w:val="auto"/>
        </w:rPr>
      </w:pPr>
      <w:r w:rsidRPr="00612F3C">
        <w:rPr>
          <w:color w:val="auto"/>
        </w:rPr>
        <w:t>This evidence should include documented assessments and / or patient history, including:</w:t>
      </w:r>
    </w:p>
    <w:p w14:paraId="06928A53" w14:textId="77777777" w:rsidR="00ED75E3" w:rsidRDefault="00612F3C" w:rsidP="00ED75E3">
      <w:pPr>
        <w:pStyle w:val="ListParagraph"/>
        <w:numPr>
          <w:ilvl w:val="0"/>
          <w:numId w:val="11"/>
        </w:numPr>
        <w:spacing w:line="240" w:lineRule="auto"/>
        <w:jc w:val="both"/>
        <w:rPr>
          <w:color w:val="auto"/>
        </w:rPr>
      </w:pPr>
      <w:r w:rsidRPr="00F17CC6">
        <w:rPr>
          <w:color w:val="auto"/>
        </w:rPr>
        <w:t>significant functional impairment is defined as: symptoms that result in a physical / functional inability to sustain employment / education despite reasonable occupational adjustment, or act as a barrier to employment or undertaking educational responsibilities.</w:t>
      </w:r>
    </w:p>
    <w:p w14:paraId="7B598C94" w14:textId="77777777" w:rsidR="00ED75E3" w:rsidRDefault="00612F3C" w:rsidP="00ED75E3">
      <w:pPr>
        <w:pStyle w:val="ListParagraph"/>
        <w:numPr>
          <w:ilvl w:val="0"/>
          <w:numId w:val="11"/>
        </w:numPr>
        <w:spacing w:line="240" w:lineRule="auto"/>
        <w:jc w:val="both"/>
        <w:rPr>
          <w:color w:val="auto"/>
        </w:rPr>
      </w:pPr>
      <w:r w:rsidRPr="00ED75E3">
        <w:rPr>
          <w:color w:val="auto"/>
        </w:rPr>
        <w:t>symptoms preventing the patient carrying out routine domestic or carer activities.</w:t>
      </w:r>
    </w:p>
    <w:p w14:paraId="31411DA2" w14:textId="2A78E798" w:rsidR="00612F3C" w:rsidRPr="00ED75E3" w:rsidRDefault="00612F3C" w:rsidP="00ED75E3">
      <w:pPr>
        <w:pStyle w:val="ListParagraph"/>
        <w:numPr>
          <w:ilvl w:val="0"/>
          <w:numId w:val="11"/>
        </w:numPr>
        <w:spacing w:line="240" w:lineRule="auto"/>
        <w:jc w:val="both"/>
        <w:rPr>
          <w:color w:val="auto"/>
        </w:rPr>
      </w:pPr>
      <w:r w:rsidRPr="00ED75E3">
        <w:rPr>
          <w:color w:val="auto"/>
        </w:rPr>
        <w:t>symptoms preventing the patient carrying out self-care or maintaining independent living.</w:t>
      </w:r>
    </w:p>
    <w:p w14:paraId="2A1A9A1B" w14:textId="77777777" w:rsidR="00612F3C" w:rsidRDefault="00612F3C" w:rsidP="00612F3C"/>
    <w:p w14:paraId="5996D7DF" w14:textId="77777777" w:rsidR="00612F3C" w:rsidRDefault="00612F3C" w:rsidP="00612F3C">
      <w:pPr>
        <w:pStyle w:val="Heading2"/>
        <w:spacing w:before="0" w:line="240" w:lineRule="auto"/>
        <w:ind w:left="720" w:hanging="578"/>
      </w:pPr>
      <w:bookmarkStart w:id="14" w:name="_Toc172022042"/>
      <w:r>
        <w:t>Photographs</w:t>
      </w:r>
      <w:bookmarkEnd w:id="14"/>
    </w:p>
    <w:p w14:paraId="413B4994" w14:textId="1032824F" w:rsidR="009829F7" w:rsidRDefault="00612F3C" w:rsidP="00612F3C">
      <w:pPr>
        <w:spacing w:line="240" w:lineRule="auto"/>
        <w:ind w:left="425"/>
        <w:jc w:val="both"/>
        <w:rPr>
          <w:color w:val="auto"/>
        </w:rPr>
      </w:pPr>
      <w:r w:rsidRPr="00612F3C">
        <w:rPr>
          <w:color w:val="auto"/>
        </w:rPr>
        <w:t>Photographs are not to be submitted for use in the consideration of exceptionality. Cosmetic appearance is not considered when judging exceptionality. A detailed description of any functional impairment is much more important.</w:t>
      </w:r>
      <w:r w:rsidR="00BA1390">
        <w:rPr>
          <w:color w:val="auto"/>
        </w:rPr>
        <w:t xml:space="preserve">  </w:t>
      </w:r>
      <w:r w:rsidR="00BA1390" w:rsidRPr="00BA1390">
        <w:rPr>
          <w:color w:val="auto"/>
        </w:rPr>
        <w:t>When any photographs are received the request will be returned to the referring clinician as a rejection and an incident will be logged by the IFR Team</w:t>
      </w:r>
      <w:r w:rsidR="00034A9E">
        <w:rPr>
          <w:color w:val="auto"/>
        </w:rPr>
        <w:t>.</w:t>
      </w:r>
    </w:p>
    <w:p w14:paraId="73708D71" w14:textId="77777777" w:rsidR="00791A79" w:rsidRDefault="00791A79" w:rsidP="00612F3C">
      <w:pPr>
        <w:spacing w:line="240" w:lineRule="auto"/>
        <w:ind w:left="425"/>
        <w:jc w:val="both"/>
        <w:rPr>
          <w:color w:val="auto"/>
        </w:rPr>
      </w:pPr>
    </w:p>
    <w:p w14:paraId="6D859844" w14:textId="45E287EB" w:rsidR="00791A79" w:rsidRDefault="002936F8" w:rsidP="00791A79">
      <w:pPr>
        <w:pStyle w:val="Heading2"/>
        <w:spacing w:before="0" w:line="240" w:lineRule="auto"/>
        <w:ind w:left="720" w:hanging="578"/>
      </w:pPr>
      <w:r>
        <w:t xml:space="preserve">NICE Recommendations </w:t>
      </w:r>
    </w:p>
    <w:p w14:paraId="5ED85207" w14:textId="77777777" w:rsidR="00555AC2" w:rsidRPr="00051E94" w:rsidRDefault="002936F8" w:rsidP="00612F3C">
      <w:pPr>
        <w:spacing w:line="240" w:lineRule="auto"/>
        <w:ind w:left="425"/>
        <w:jc w:val="both"/>
        <w:rPr>
          <w:color w:val="auto"/>
        </w:rPr>
      </w:pPr>
      <w:r w:rsidRPr="00051E94">
        <w:rPr>
          <w:color w:val="auto"/>
        </w:rPr>
        <w:t xml:space="preserve">The ICB does not routinely commission any intervention that has a NICE recommendation that it should 'only be used with special arrangements for clinical governance, consent, and audit or research', unless the ICB has separately published a specific commissioning policy for the intervention. </w:t>
      </w:r>
    </w:p>
    <w:p w14:paraId="5DED0063" w14:textId="77777777" w:rsidR="00555AC2" w:rsidRPr="00051E94" w:rsidRDefault="00555AC2" w:rsidP="00612F3C">
      <w:pPr>
        <w:spacing w:line="240" w:lineRule="auto"/>
        <w:ind w:left="425"/>
        <w:jc w:val="both"/>
        <w:rPr>
          <w:color w:val="auto"/>
        </w:rPr>
      </w:pPr>
    </w:p>
    <w:p w14:paraId="5532D3FF" w14:textId="2BCFCCB5" w:rsidR="00791A79" w:rsidRPr="00612F3C" w:rsidRDefault="002936F8" w:rsidP="00612F3C">
      <w:pPr>
        <w:spacing w:line="240" w:lineRule="auto"/>
        <w:ind w:left="425"/>
        <w:jc w:val="both"/>
        <w:rPr>
          <w:color w:val="auto"/>
        </w:rPr>
      </w:pPr>
      <w:r w:rsidRPr="00051E94">
        <w:rPr>
          <w:color w:val="auto"/>
        </w:rPr>
        <w:t>Application for funding approval can be made, using the IFR process, by the clinician recommending the intervention, if their assessment is that there are exceptional reasons why their patient could benefit from it. This rationale for this commissioning position is that the available evidence has not been sufficient for NICE to make a more definitive recommendation about the intervention's safety and effectiveness so any use of the intervention should usually be restricted to being part of research to provide further evidence about safety and effectiveness.</w:t>
      </w:r>
    </w:p>
    <w:p w14:paraId="4A8C161C" w14:textId="7826A9E1" w:rsidR="00F779A6" w:rsidRDefault="00F779A6" w:rsidP="00B96D50">
      <w:pPr>
        <w:spacing w:line="240" w:lineRule="auto"/>
        <w:jc w:val="both"/>
        <w:rPr>
          <w:color w:val="auto"/>
        </w:rPr>
      </w:pPr>
    </w:p>
    <w:p w14:paraId="0549657E" w14:textId="77777777" w:rsidR="00236C19" w:rsidRPr="005A36D0" w:rsidRDefault="00236C19" w:rsidP="00B96D50">
      <w:pPr>
        <w:spacing w:line="240" w:lineRule="auto"/>
        <w:jc w:val="both"/>
        <w:rPr>
          <w:color w:val="auto"/>
        </w:rPr>
      </w:pPr>
    </w:p>
    <w:p w14:paraId="1EC9BEDD" w14:textId="2A313EA1" w:rsidR="00BF0794" w:rsidRPr="000D3FF5" w:rsidRDefault="00694ABB" w:rsidP="000D3FF5">
      <w:pPr>
        <w:pStyle w:val="Heading1"/>
      </w:pPr>
      <w:bookmarkStart w:id="15" w:name="_Toc146097540"/>
      <w:r w:rsidRPr="00DC78A6">
        <w:t xml:space="preserve">Policy </w:t>
      </w:r>
      <w:bookmarkEnd w:id="15"/>
      <w:r w:rsidR="009829F7">
        <w:t>Details</w:t>
      </w:r>
    </w:p>
    <w:p w14:paraId="28F86452" w14:textId="73630B10" w:rsidR="008200F1" w:rsidRDefault="001B3BEA" w:rsidP="001B3BEA">
      <w:pPr>
        <w:pStyle w:val="Heading2"/>
        <w:spacing w:before="0" w:line="240" w:lineRule="auto"/>
        <w:ind w:left="720" w:hanging="578"/>
      </w:pPr>
      <w:r>
        <w:t>Reconsideration</w:t>
      </w:r>
    </w:p>
    <w:p w14:paraId="1B184B0E" w14:textId="77777777" w:rsidR="00B02E67" w:rsidRPr="00B02E67" w:rsidRDefault="00B02E67" w:rsidP="00B02E67">
      <w:pPr>
        <w:spacing w:line="240" w:lineRule="auto"/>
        <w:ind w:left="425"/>
        <w:jc w:val="both"/>
        <w:rPr>
          <w:color w:val="auto"/>
        </w:rPr>
      </w:pPr>
      <w:r w:rsidRPr="00B02E67">
        <w:rPr>
          <w:color w:val="auto"/>
        </w:rPr>
        <w:t>Where a funding request is declined by the individual funding requests panel, the requesting clinician has the right to request reconsideration but only on the presentation of new clinically significant information and / or evidence.</w:t>
      </w:r>
    </w:p>
    <w:p w14:paraId="0E042844" w14:textId="77777777" w:rsidR="00B02E67" w:rsidRPr="00B02E67" w:rsidRDefault="00B02E67" w:rsidP="00B02E67">
      <w:pPr>
        <w:spacing w:line="240" w:lineRule="auto"/>
        <w:ind w:left="425"/>
        <w:jc w:val="both"/>
        <w:rPr>
          <w:color w:val="auto"/>
        </w:rPr>
      </w:pPr>
    </w:p>
    <w:p w14:paraId="50896A74" w14:textId="050AB374" w:rsidR="00B02E67" w:rsidRPr="00B02E67" w:rsidRDefault="00B02E67" w:rsidP="00B02E67">
      <w:pPr>
        <w:spacing w:line="240" w:lineRule="auto"/>
        <w:ind w:left="425"/>
        <w:jc w:val="both"/>
        <w:rPr>
          <w:color w:val="auto"/>
        </w:rPr>
      </w:pPr>
      <w:r w:rsidRPr="00B02E67">
        <w:rPr>
          <w:color w:val="auto"/>
        </w:rPr>
        <w:t>Such requests should be submitted by the referring clinician within three months of the original funding decision.</w:t>
      </w:r>
    </w:p>
    <w:p w14:paraId="42C5D55C" w14:textId="77777777" w:rsidR="00B02E67" w:rsidRPr="00B02E67" w:rsidRDefault="00B02E67" w:rsidP="00B02E67">
      <w:pPr>
        <w:spacing w:line="240" w:lineRule="auto"/>
        <w:ind w:left="425"/>
        <w:jc w:val="both"/>
        <w:rPr>
          <w:color w:val="auto"/>
        </w:rPr>
      </w:pPr>
    </w:p>
    <w:p w14:paraId="3A96EF82" w14:textId="77777777" w:rsidR="00B02E67" w:rsidRPr="00B02E67" w:rsidRDefault="00B02E67" w:rsidP="00B02E67">
      <w:pPr>
        <w:spacing w:line="240" w:lineRule="auto"/>
        <w:ind w:left="425"/>
        <w:jc w:val="both"/>
        <w:rPr>
          <w:color w:val="auto"/>
        </w:rPr>
      </w:pPr>
      <w:r w:rsidRPr="00B02E67">
        <w:rPr>
          <w:color w:val="auto"/>
        </w:rPr>
        <w:t>Requests for reconsiderations of decisions received from non-referring clinicians or directly from patients will be returned to the sender and advised of the procedure outlined above.</w:t>
      </w:r>
    </w:p>
    <w:p w14:paraId="4B6F13D6" w14:textId="77777777" w:rsidR="00B02E67" w:rsidRPr="00B02E67" w:rsidRDefault="00B02E67" w:rsidP="00B02E67">
      <w:pPr>
        <w:spacing w:line="240" w:lineRule="auto"/>
        <w:ind w:left="425"/>
        <w:jc w:val="both"/>
        <w:rPr>
          <w:color w:val="auto"/>
        </w:rPr>
      </w:pPr>
    </w:p>
    <w:p w14:paraId="7F58C8C3" w14:textId="293FD154" w:rsidR="00B02E67" w:rsidRPr="00B02E67" w:rsidRDefault="00B02E67" w:rsidP="00B02E67">
      <w:pPr>
        <w:spacing w:line="240" w:lineRule="auto"/>
        <w:ind w:left="425"/>
        <w:jc w:val="both"/>
        <w:rPr>
          <w:color w:val="auto"/>
        </w:rPr>
      </w:pPr>
      <w:r w:rsidRPr="00B02E67">
        <w:rPr>
          <w:color w:val="auto"/>
        </w:rPr>
        <w:t xml:space="preserve">Upon receipt of an application for a reconsideration request, the </w:t>
      </w:r>
      <w:r w:rsidR="00966F56">
        <w:rPr>
          <w:color w:val="auto"/>
        </w:rPr>
        <w:t>IFR A</w:t>
      </w:r>
      <w:r w:rsidRPr="00B02E67">
        <w:rPr>
          <w:color w:val="auto"/>
        </w:rPr>
        <w:t xml:space="preserve">dministration </w:t>
      </w:r>
      <w:r w:rsidR="00966F56">
        <w:rPr>
          <w:color w:val="auto"/>
        </w:rPr>
        <w:t>T</w:t>
      </w:r>
      <w:r w:rsidRPr="00B02E67">
        <w:rPr>
          <w:color w:val="auto"/>
        </w:rPr>
        <w:t xml:space="preserve">eam will </w:t>
      </w:r>
      <w:r w:rsidR="00966F56">
        <w:rPr>
          <w:color w:val="auto"/>
        </w:rPr>
        <w:t>s</w:t>
      </w:r>
      <w:r w:rsidRPr="00B02E67">
        <w:rPr>
          <w:color w:val="auto"/>
        </w:rPr>
        <w:t xml:space="preserve">creen the original application, the notes of the original decision, all correspondence, any new information and the reconsideration request. The application will then be referred to the original individual funding request panel for review. </w:t>
      </w:r>
    </w:p>
    <w:p w14:paraId="0C1AE0BF" w14:textId="77777777" w:rsidR="00B02E67" w:rsidRPr="00B02E67" w:rsidRDefault="00B02E67" w:rsidP="00B02E67">
      <w:pPr>
        <w:spacing w:line="240" w:lineRule="auto"/>
        <w:ind w:left="425"/>
        <w:jc w:val="both"/>
        <w:rPr>
          <w:color w:val="auto"/>
        </w:rPr>
      </w:pPr>
    </w:p>
    <w:p w14:paraId="7E2CB542" w14:textId="77777777" w:rsidR="00B02E67" w:rsidRDefault="00B02E67" w:rsidP="00B02E67">
      <w:pPr>
        <w:spacing w:line="240" w:lineRule="auto"/>
        <w:ind w:left="425"/>
        <w:jc w:val="both"/>
        <w:rPr>
          <w:color w:val="auto"/>
        </w:rPr>
      </w:pPr>
      <w:r w:rsidRPr="00B02E67">
        <w:rPr>
          <w:color w:val="auto"/>
        </w:rPr>
        <w:t>If a reconsideration request is received outside of this three-month period, it will be classed as a new request and the referrer will be asked to submit the application as a new request. However, unless a funding policy has changed between the original decision and the reconsideration request which directly affects the treatment / procedure, new information must be submitted that wasn’t taken into consideration at the time of the original application for it to be presented again. If no new information is presented, the reconsideration request will not be granted and the individual funding requests administration team will correspond with the referring clinician advising them of this.</w:t>
      </w:r>
    </w:p>
    <w:p w14:paraId="7755F942" w14:textId="77777777" w:rsidR="0073616B" w:rsidRDefault="0073616B" w:rsidP="00B02E67">
      <w:pPr>
        <w:spacing w:line="240" w:lineRule="auto"/>
        <w:ind w:left="425"/>
        <w:jc w:val="both"/>
        <w:rPr>
          <w:color w:val="auto"/>
        </w:rPr>
      </w:pPr>
    </w:p>
    <w:p w14:paraId="4A920B75" w14:textId="77777777" w:rsidR="0073616B" w:rsidRDefault="0073616B" w:rsidP="00B02E67">
      <w:pPr>
        <w:spacing w:line="240" w:lineRule="auto"/>
        <w:ind w:left="425"/>
        <w:jc w:val="both"/>
        <w:rPr>
          <w:color w:val="auto"/>
        </w:rPr>
      </w:pPr>
    </w:p>
    <w:p w14:paraId="0C735365" w14:textId="0447539A" w:rsidR="0073616B" w:rsidRDefault="0073616B" w:rsidP="0073616B">
      <w:pPr>
        <w:pStyle w:val="Heading2"/>
        <w:spacing w:before="0" w:line="240" w:lineRule="auto"/>
        <w:ind w:left="720" w:hanging="578"/>
      </w:pPr>
      <w:r>
        <w:t>Appeals</w:t>
      </w:r>
    </w:p>
    <w:p w14:paraId="5B4CBA20" w14:textId="0693241D" w:rsidR="00E27FD4" w:rsidRPr="00E27FD4" w:rsidRDefault="00140DF1" w:rsidP="00E27FD4">
      <w:pPr>
        <w:spacing w:line="240" w:lineRule="auto"/>
        <w:ind w:left="425"/>
        <w:jc w:val="both"/>
        <w:rPr>
          <w:color w:val="auto"/>
        </w:rPr>
      </w:pPr>
      <w:r>
        <w:rPr>
          <w:color w:val="auto"/>
        </w:rPr>
        <w:t xml:space="preserve">The ICB will convene as Appeals Panel as required from within its Clinical and Professional Directorate.  </w:t>
      </w:r>
      <w:r w:rsidR="00210201">
        <w:rPr>
          <w:color w:val="auto"/>
        </w:rPr>
        <w:t xml:space="preserve">The IFR Team </w:t>
      </w:r>
      <w:r w:rsidR="00E27FD4" w:rsidRPr="00E27FD4">
        <w:rPr>
          <w:color w:val="auto"/>
        </w:rPr>
        <w:t xml:space="preserve">will manage the </w:t>
      </w:r>
      <w:r w:rsidR="00DC3A6C">
        <w:rPr>
          <w:color w:val="auto"/>
        </w:rPr>
        <w:t>appeals panel process</w:t>
      </w:r>
      <w:r w:rsidR="00E27FD4" w:rsidRPr="00E27FD4">
        <w:rPr>
          <w:color w:val="auto"/>
        </w:rPr>
        <w:t xml:space="preserve"> to ensure that there is a fair and equitable approach and to minimise any conflicts of interest.</w:t>
      </w:r>
    </w:p>
    <w:p w14:paraId="298D5403" w14:textId="77777777" w:rsidR="00E27FD4" w:rsidRPr="00E27FD4" w:rsidRDefault="00E27FD4" w:rsidP="00E27FD4">
      <w:pPr>
        <w:spacing w:line="240" w:lineRule="auto"/>
        <w:ind w:left="425"/>
        <w:jc w:val="both"/>
        <w:rPr>
          <w:color w:val="auto"/>
        </w:rPr>
      </w:pPr>
    </w:p>
    <w:p w14:paraId="2DDCD0A1" w14:textId="77777777" w:rsidR="00E27FD4" w:rsidRPr="00E27FD4" w:rsidRDefault="00E27FD4" w:rsidP="00E27FD4">
      <w:pPr>
        <w:spacing w:line="240" w:lineRule="auto"/>
        <w:ind w:left="425"/>
        <w:jc w:val="both"/>
        <w:rPr>
          <w:color w:val="auto"/>
        </w:rPr>
      </w:pPr>
      <w:r w:rsidRPr="00E27FD4">
        <w:rPr>
          <w:color w:val="auto"/>
        </w:rPr>
        <w:t>Such requests should be submitted by the referring clinician via the web-based system within three months of the original funding decision.</w:t>
      </w:r>
    </w:p>
    <w:p w14:paraId="0B3C8CA7" w14:textId="77777777" w:rsidR="00E27FD4" w:rsidRPr="00E27FD4" w:rsidRDefault="00E27FD4" w:rsidP="00E27FD4">
      <w:pPr>
        <w:spacing w:line="240" w:lineRule="auto"/>
        <w:ind w:left="425"/>
        <w:jc w:val="both"/>
        <w:rPr>
          <w:color w:val="auto"/>
        </w:rPr>
      </w:pPr>
    </w:p>
    <w:p w14:paraId="2CECA62E" w14:textId="3544B193" w:rsidR="00E27FD4" w:rsidRPr="00E27FD4" w:rsidRDefault="00E27FD4" w:rsidP="00E27FD4">
      <w:pPr>
        <w:spacing w:line="240" w:lineRule="auto"/>
        <w:ind w:left="425"/>
        <w:jc w:val="both"/>
        <w:rPr>
          <w:color w:val="auto"/>
        </w:rPr>
      </w:pPr>
      <w:r w:rsidRPr="00E27FD4">
        <w:rPr>
          <w:color w:val="auto"/>
        </w:rPr>
        <w:t xml:space="preserve">An appeal will only be instigated where there are grounds for an appeal, i.e. where there is evidence that the individual funding requests administration team / panel may not have acted in accordance with the agreed individual funding requests process, for example, they have not considered the relevant evidence, material factors or inappropriately applied the criteria (where applicable) in reaching this decision. </w:t>
      </w:r>
    </w:p>
    <w:p w14:paraId="0DAFFF71" w14:textId="77777777" w:rsidR="00E27FD4" w:rsidRPr="00E27FD4" w:rsidRDefault="00E27FD4" w:rsidP="00E27FD4">
      <w:pPr>
        <w:spacing w:line="240" w:lineRule="auto"/>
        <w:ind w:left="425"/>
        <w:jc w:val="both"/>
        <w:rPr>
          <w:color w:val="auto"/>
        </w:rPr>
      </w:pPr>
    </w:p>
    <w:p w14:paraId="02FB786B" w14:textId="77777777" w:rsidR="0073616B" w:rsidRPr="00B02E67" w:rsidRDefault="0073616B" w:rsidP="00B02E67">
      <w:pPr>
        <w:spacing w:line="240" w:lineRule="auto"/>
        <w:ind w:left="425"/>
        <w:jc w:val="both"/>
        <w:rPr>
          <w:color w:val="auto"/>
        </w:rPr>
      </w:pPr>
    </w:p>
    <w:p w14:paraId="163865B2" w14:textId="566C5CA1" w:rsidR="001B3BEA" w:rsidRDefault="005019CF" w:rsidP="005019CF">
      <w:pPr>
        <w:pStyle w:val="Heading2"/>
        <w:spacing w:before="0" w:line="240" w:lineRule="auto"/>
        <w:ind w:left="720" w:hanging="578"/>
      </w:pPr>
      <w:r>
        <w:t>Data collection/sharing conflicts of interest</w:t>
      </w:r>
    </w:p>
    <w:p w14:paraId="0D79CDDE" w14:textId="5CE33AA9" w:rsidR="002D532C" w:rsidRPr="002D532C" w:rsidRDefault="002D532C" w:rsidP="002D532C">
      <w:pPr>
        <w:spacing w:line="240" w:lineRule="auto"/>
        <w:ind w:left="425"/>
        <w:jc w:val="both"/>
        <w:rPr>
          <w:color w:val="auto"/>
        </w:rPr>
      </w:pPr>
      <w:r w:rsidRPr="002D532C">
        <w:rPr>
          <w:color w:val="auto"/>
        </w:rPr>
        <w:t xml:space="preserve">Personal identifiable data </w:t>
      </w:r>
      <w:r w:rsidR="00D26458">
        <w:rPr>
          <w:color w:val="auto"/>
        </w:rPr>
        <w:t xml:space="preserve">(PID) </w:t>
      </w:r>
      <w:r w:rsidRPr="002D532C">
        <w:rPr>
          <w:color w:val="auto"/>
        </w:rPr>
        <w:t xml:space="preserve">is needed to allow the </w:t>
      </w:r>
      <w:r w:rsidR="00D26458">
        <w:rPr>
          <w:color w:val="auto"/>
        </w:rPr>
        <w:t>IFR A</w:t>
      </w:r>
      <w:r w:rsidRPr="002D532C">
        <w:rPr>
          <w:color w:val="auto"/>
        </w:rPr>
        <w:t xml:space="preserve">dministration </w:t>
      </w:r>
      <w:r w:rsidR="00D26458">
        <w:rPr>
          <w:color w:val="auto"/>
        </w:rPr>
        <w:t>T</w:t>
      </w:r>
      <w:r w:rsidRPr="002D532C">
        <w:rPr>
          <w:color w:val="auto"/>
        </w:rPr>
        <w:t>eam to effectively administer the process. Appropriate agreements and safeguards have been developed to ensure legal processing of data and seek consent of patients for the use of their data.</w:t>
      </w:r>
    </w:p>
    <w:p w14:paraId="14DB6357" w14:textId="77777777" w:rsidR="002D532C" w:rsidRPr="002D532C" w:rsidRDefault="002D532C" w:rsidP="002D532C">
      <w:pPr>
        <w:spacing w:line="240" w:lineRule="auto"/>
        <w:ind w:left="425"/>
        <w:jc w:val="both"/>
        <w:rPr>
          <w:color w:val="auto"/>
        </w:rPr>
      </w:pPr>
    </w:p>
    <w:p w14:paraId="3F7EC218" w14:textId="03A918DC" w:rsidR="002D532C" w:rsidRPr="002D532C" w:rsidRDefault="002D532C" w:rsidP="002D532C">
      <w:pPr>
        <w:spacing w:line="240" w:lineRule="auto"/>
        <w:ind w:left="425"/>
        <w:jc w:val="both"/>
        <w:rPr>
          <w:color w:val="auto"/>
        </w:rPr>
      </w:pPr>
      <w:r w:rsidRPr="002D532C">
        <w:rPr>
          <w:color w:val="auto"/>
        </w:rPr>
        <w:t xml:space="preserve">As </w:t>
      </w:r>
      <w:r w:rsidR="00D26458">
        <w:rPr>
          <w:color w:val="auto"/>
        </w:rPr>
        <w:t>P</w:t>
      </w:r>
      <w:r w:rsidRPr="002D532C">
        <w:rPr>
          <w:color w:val="auto"/>
        </w:rPr>
        <w:t xml:space="preserve">anel members and their supporting admin teams are often members of the communities for whom they are responsible for making decisions, conflict of interest may arise where an applicant is a patient, an employee or a friend / relative of a </w:t>
      </w:r>
      <w:r w:rsidR="00231E28">
        <w:rPr>
          <w:color w:val="auto"/>
        </w:rPr>
        <w:t>P</w:t>
      </w:r>
      <w:r w:rsidRPr="002D532C">
        <w:rPr>
          <w:color w:val="auto"/>
        </w:rPr>
        <w:t xml:space="preserve">anel member or </w:t>
      </w:r>
      <w:r w:rsidR="00231E28">
        <w:rPr>
          <w:color w:val="auto"/>
        </w:rPr>
        <w:t>A</w:t>
      </w:r>
      <w:r w:rsidRPr="002D532C">
        <w:rPr>
          <w:color w:val="auto"/>
        </w:rPr>
        <w:t xml:space="preserve">dministrator. The </w:t>
      </w:r>
      <w:r w:rsidR="00231E28">
        <w:rPr>
          <w:color w:val="auto"/>
        </w:rPr>
        <w:t>IFR</w:t>
      </w:r>
      <w:r w:rsidRPr="002D532C">
        <w:rPr>
          <w:color w:val="auto"/>
        </w:rPr>
        <w:t xml:space="preserve"> </w:t>
      </w:r>
      <w:r w:rsidR="00231E28">
        <w:rPr>
          <w:color w:val="auto"/>
        </w:rPr>
        <w:t>A</w:t>
      </w:r>
      <w:r w:rsidRPr="002D532C">
        <w:rPr>
          <w:color w:val="auto"/>
        </w:rPr>
        <w:t xml:space="preserve">dministration </w:t>
      </w:r>
      <w:r w:rsidR="00231E28">
        <w:rPr>
          <w:color w:val="auto"/>
        </w:rPr>
        <w:t>T</w:t>
      </w:r>
      <w:r w:rsidRPr="002D532C">
        <w:rPr>
          <w:color w:val="auto"/>
        </w:rPr>
        <w:t xml:space="preserve">eam will screen out patients at the practice at which a </w:t>
      </w:r>
      <w:r w:rsidR="00231E28">
        <w:rPr>
          <w:color w:val="auto"/>
        </w:rPr>
        <w:t>P</w:t>
      </w:r>
      <w:r w:rsidRPr="002D532C">
        <w:rPr>
          <w:color w:val="auto"/>
        </w:rPr>
        <w:t xml:space="preserve">anel member works as a GP and ensure that the conflict is registered and managed. It is </w:t>
      </w:r>
      <w:proofErr w:type="gramStart"/>
      <w:r w:rsidRPr="002D532C">
        <w:rPr>
          <w:color w:val="auto"/>
        </w:rPr>
        <w:t>essential,</w:t>
      </w:r>
      <w:proofErr w:type="gramEnd"/>
      <w:r w:rsidRPr="002D532C">
        <w:rPr>
          <w:color w:val="auto"/>
        </w:rPr>
        <w:t xml:space="preserve"> therefore, those identifiable details are shared with the </w:t>
      </w:r>
      <w:r w:rsidR="00231E28">
        <w:rPr>
          <w:color w:val="auto"/>
        </w:rPr>
        <w:t>P</w:t>
      </w:r>
      <w:r w:rsidRPr="002D532C">
        <w:rPr>
          <w:color w:val="auto"/>
        </w:rPr>
        <w:t xml:space="preserve">anel members, and that the </w:t>
      </w:r>
      <w:r w:rsidR="00231E28">
        <w:rPr>
          <w:color w:val="auto"/>
        </w:rPr>
        <w:t>P</w:t>
      </w:r>
      <w:r w:rsidRPr="002D532C">
        <w:rPr>
          <w:color w:val="auto"/>
        </w:rPr>
        <w:t xml:space="preserve">anel members and </w:t>
      </w:r>
      <w:r w:rsidR="0036466F">
        <w:rPr>
          <w:color w:val="auto"/>
        </w:rPr>
        <w:t>A</w:t>
      </w:r>
      <w:r w:rsidRPr="002D532C">
        <w:rPr>
          <w:color w:val="auto"/>
        </w:rPr>
        <w:t>dministrators conduct themselves with the highest standards of probity in declaring any conflicts of interest that arise. Administrators must similarly pass cases in which they have a conflict of interest to an alternative colleague to manage.</w:t>
      </w:r>
    </w:p>
    <w:p w14:paraId="7CE8E31D" w14:textId="77777777" w:rsidR="002D532C" w:rsidRPr="002D532C" w:rsidRDefault="002D532C" w:rsidP="002D532C">
      <w:pPr>
        <w:spacing w:line="240" w:lineRule="auto"/>
        <w:ind w:left="425"/>
        <w:jc w:val="both"/>
        <w:rPr>
          <w:color w:val="auto"/>
        </w:rPr>
      </w:pPr>
    </w:p>
    <w:p w14:paraId="0D5DCBEB" w14:textId="77777777" w:rsidR="002D532C" w:rsidRDefault="002D532C" w:rsidP="002D532C">
      <w:pPr>
        <w:spacing w:line="240" w:lineRule="auto"/>
        <w:ind w:left="425"/>
        <w:jc w:val="both"/>
        <w:rPr>
          <w:color w:val="auto"/>
        </w:rPr>
      </w:pPr>
      <w:r w:rsidRPr="002D532C">
        <w:rPr>
          <w:color w:val="auto"/>
        </w:rPr>
        <w:t>Aggregate anonymised data may be collected by the team for purposes of effective administration of the system, quality improvement, and development of commissioning policy.</w:t>
      </w:r>
    </w:p>
    <w:p w14:paraId="450A653E" w14:textId="77777777" w:rsidR="002D532C" w:rsidRDefault="002D532C" w:rsidP="002D532C">
      <w:pPr>
        <w:spacing w:line="240" w:lineRule="auto"/>
        <w:ind w:left="425"/>
        <w:jc w:val="both"/>
        <w:rPr>
          <w:color w:val="auto"/>
        </w:rPr>
      </w:pPr>
    </w:p>
    <w:p w14:paraId="7AEA036A" w14:textId="40A23D21" w:rsidR="002D532C" w:rsidRDefault="002237F1" w:rsidP="00C80670">
      <w:pPr>
        <w:pStyle w:val="Heading2"/>
        <w:spacing w:before="0" w:line="240" w:lineRule="auto"/>
        <w:ind w:left="720" w:hanging="578"/>
      </w:pPr>
      <w:r>
        <w:t>Monitoring compliance</w:t>
      </w:r>
    </w:p>
    <w:p w14:paraId="7C4BED81" w14:textId="12F7C93E" w:rsidR="00C80670" w:rsidRPr="00C80670" w:rsidRDefault="00C80670" w:rsidP="00C80670">
      <w:pPr>
        <w:spacing w:line="240" w:lineRule="auto"/>
        <w:ind w:left="425"/>
        <w:jc w:val="both"/>
        <w:rPr>
          <w:color w:val="auto"/>
        </w:rPr>
      </w:pPr>
      <w:r w:rsidRPr="00C80670">
        <w:rPr>
          <w:color w:val="auto"/>
        </w:rPr>
        <w:t xml:space="preserve">Numbers / types of cases considered at </w:t>
      </w:r>
      <w:r w:rsidR="0036466F">
        <w:rPr>
          <w:color w:val="auto"/>
        </w:rPr>
        <w:t>P</w:t>
      </w:r>
      <w:r w:rsidRPr="00C80670">
        <w:rPr>
          <w:color w:val="auto"/>
        </w:rPr>
        <w:t xml:space="preserve">anel(s) across the ICB locality will be collated and presented regularly to each </w:t>
      </w:r>
      <w:r w:rsidR="0036466F">
        <w:rPr>
          <w:color w:val="auto"/>
        </w:rPr>
        <w:t>P</w:t>
      </w:r>
      <w:r w:rsidRPr="00C80670">
        <w:rPr>
          <w:color w:val="auto"/>
        </w:rPr>
        <w:t xml:space="preserve">anel and to the </w:t>
      </w:r>
      <w:r w:rsidR="00261663">
        <w:rPr>
          <w:color w:val="auto"/>
        </w:rPr>
        <w:t>Clinical Effectiveness Unit</w:t>
      </w:r>
      <w:r w:rsidRPr="00C80670">
        <w:rPr>
          <w:color w:val="auto"/>
        </w:rPr>
        <w:t xml:space="preserve">. This will enable </w:t>
      </w:r>
      <w:r w:rsidR="0036466F">
        <w:rPr>
          <w:color w:val="auto"/>
        </w:rPr>
        <w:t>P</w:t>
      </w:r>
      <w:r w:rsidRPr="00C80670">
        <w:rPr>
          <w:color w:val="auto"/>
        </w:rPr>
        <w:t>anel members / decision makers to undertake reflective learning and self-moderation and give an overview of the clinical areas which are being requested. This reflection will fulfil part of the training needs</w:t>
      </w:r>
      <w:r w:rsidR="00637CF7">
        <w:rPr>
          <w:color w:val="auto"/>
        </w:rPr>
        <w:t xml:space="preserve">.  </w:t>
      </w:r>
      <w:r w:rsidRPr="00C80670">
        <w:rPr>
          <w:color w:val="auto"/>
        </w:rPr>
        <w:t xml:space="preserve">The </w:t>
      </w:r>
      <w:r w:rsidR="00637CF7">
        <w:rPr>
          <w:color w:val="auto"/>
        </w:rPr>
        <w:t>Clinical Effectiveness Unit</w:t>
      </w:r>
      <w:r w:rsidRPr="00C80670">
        <w:rPr>
          <w:color w:val="auto"/>
        </w:rPr>
        <w:t xml:space="preserve"> will take into consideration information on requests to support the horizon scanning and future work programme of the group.</w:t>
      </w:r>
    </w:p>
    <w:p w14:paraId="07E35A23" w14:textId="77777777" w:rsidR="00C80670" w:rsidRPr="00C80670" w:rsidRDefault="00C80670" w:rsidP="00C80670">
      <w:pPr>
        <w:spacing w:line="240" w:lineRule="auto"/>
        <w:ind w:left="425"/>
        <w:jc w:val="both"/>
        <w:rPr>
          <w:color w:val="auto"/>
        </w:rPr>
      </w:pPr>
    </w:p>
    <w:p w14:paraId="3805B653" w14:textId="640A59F9" w:rsidR="00C80670" w:rsidRPr="00C80670" w:rsidRDefault="00C80670" w:rsidP="00C80670">
      <w:pPr>
        <w:spacing w:line="240" w:lineRule="auto"/>
        <w:ind w:left="425"/>
        <w:jc w:val="both"/>
        <w:rPr>
          <w:color w:val="auto"/>
        </w:rPr>
      </w:pPr>
      <w:r w:rsidRPr="00C80670">
        <w:rPr>
          <w:color w:val="auto"/>
        </w:rPr>
        <w:t xml:space="preserve">An annual report will be provided to </w:t>
      </w:r>
      <w:r w:rsidRPr="00896DC4">
        <w:rPr>
          <w:color w:val="auto"/>
        </w:rPr>
        <w:t xml:space="preserve">ICB </w:t>
      </w:r>
      <w:r w:rsidR="00B934A8" w:rsidRPr="00896DC4">
        <w:rPr>
          <w:color w:val="auto"/>
        </w:rPr>
        <w:t>Quality</w:t>
      </w:r>
      <w:r w:rsidR="00637CF7" w:rsidRPr="00896DC4">
        <w:rPr>
          <w:color w:val="auto"/>
        </w:rPr>
        <w:t xml:space="preserve"> Committee</w:t>
      </w:r>
      <w:r w:rsidRPr="00896DC4">
        <w:rPr>
          <w:color w:val="auto"/>
        </w:rPr>
        <w:t xml:space="preserve"> outlining </w:t>
      </w:r>
      <w:r w:rsidRPr="00C80670">
        <w:rPr>
          <w:color w:val="auto"/>
        </w:rPr>
        <w:t xml:space="preserve">the cases referred and decisions taken through the </w:t>
      </w:r>
      <w:r w:rsidR="0036466F">
        <w:rPr>
          <w:color w:val="auto"/>
        </w:rPr>
        <w:t>IFR</w:t>
      </w:r>
      <w:r w:rsidRPr="00C80670">
        <w:rPr>
          <w:color w:val="auto"/>
        </w:rPr>
        <w:t xml:space="preserve"> process which will include the number of </w:t>
      </w:r>
      <w:r w:rsidR="0036466F">
        <w:rPr>
          <w:color w:val="auto"/>
        </w:rPr>
        <w:t>IFR</w:t>
      </w:r>
      <w:r w:rsidRPr="00C80670">
        <w:rPr>
          <w:color w:val="auto"/>
        </w:rPr>
        <w:t xml:space="preserve"> received and the clinical areas being requested.</w:t>
      </w:r>
    </w:p>
    <w:p w14:paraId="4E305E2D" w14:textId="77777777" w:rsidR="00C80670" w:rsidRPr="00C80670" w:rsidRDefault="00C80670" w:rsidP="00C80670">
      <w:pPr>
        <w:spacing w:line="240" w:lineRule="auto"/>
        <w:ind w:left="425"/>
        <w:jc w:val="both"/>
        <w:rPr>
          <w:color w:val="auto"/>
        </w:rPr>
      </w:pPr>
    </w:p>
    <w:p w14:paraId="55BCEE5C" w14:textId="77777777" w:rsidR="00547B7A" w:rsidRDefault="00C80670" w:rsidP="00547B7A">
      <w:pPr>
        <w:spacing w:line="240" w:lineRule="auto"/>
        <w:ind w:left="425"/>
        <w:jc w:val="both"/>
        <w:rPr>
          <w:color w:val="auto"/>
        </w:rPr>
      </w:pPr>
      <w:r w:rsidRPr="00C80670">
        <w:rPr>
          <w:color w:val="auto"/>
        </w:rPr>
        <w:t xml:space="preserve">An internal audit of a selection of </w:t>
      </w:r>
      <w:r w:rsidR="009710A4">
        <w:rPr>
          <w:color w:val="auto"/>
        </w:rPr>
        <w:t>IFRs</w:t>
      </w:r>
      <w:r w:rsidRPr="00C80670">
        <w:rPr>
          <w:color w:val="auto"/>
        </w:rPr>
        <w:t xml:space="preserve"> undertaken by an appointed independent clinician. This report will cover compliance, effectiveness, and outcomes of the policy, together with a summary of all the </w:t>
      </w:r>
      <w:r w:rsidR="009710A4">
        <w:rPr>
          <w:color w:val="auto"/>
        </w:rPr>
        <w:t>IFR P</w:t>
      </w:r>
      <w:r w:rsidRPr="00C80670">
        <w:rPr>
          <w:color w:val="auto"/>
        </w:rPr>
        <w:t>anel decisions for that financial year.</w:t>
      </w:r>
    </w:p>
    <w:p w14:paraId="5871A495" w14:textId="77777777" w:rsidR="00547B7A" w:rsidRDefault="00547B7A" w:rsidP="006C15FF">
      <w:pPr>
        <w:spacing w:line="240" w:lineRule="auto"/>
        <w:jc w:val="both"/>
        <w:rPr>
          <w:color w:val="auto"/>
        </w:rPr>
      </w:pPr>
    </w:p>
    <w:p w14:paraId="3D2E4CCC" w14:textId="0C4517B5" w:rsidR="00547B7A" w:rsidRPr="00896DC4" w:rsidRDefault="0028333C" w:rsidP="00C80670">
      <w:pPr>
        <w:spacing w:line="240" w:lineRule="auto"/>
        <w:ind w:left="425"/>
        <w:jc w:val="both"/>
        <w:rPr>
          <w:color w:val="auto"/>
        </w:rPr>
      </w:pPr>
      <w:r w:rsidRPr="00896DC4">
        <w:rPr>
          <w:color w:val="auto"/>
        </w:rPr>
        <w:t>Approval of cases up to £</w:t>
      </w:r>
      <w:r w:rsidR="00E07DD2" w:rsidRPr="00896DC4">
        <w:rPr>
          <w:color w:val="auto"/>
        </w:rPr>
        <w:t>50</w:t>
      </w:r>
      <w:r w:rsidRPr="00896DC4">
        <w:rPr>
          <w:color w:val="auto"/>
        </w:rPr>
        <w:t xml:space="preserve">,000 is the responsibility of the </w:t>
      </w:r>
      <w:r w:rsidR="00E07DD2" w:rsidRPr="00896DC4">
        <w:rPr>
          <w:color w:val="auto"/>
        </w:rPr>
        <w:t xml:space="preserve">Head of the Office of the </w:t>
      </w:r>
      <w:r w:rsidR="003465A3">
        <w:rPr>
          <w:color w:val="auto"/>
        </w:rPr>
        <w:t xml:space="preserve">Clinical Leadership </w:t>
      </w:r>
      <w:r w:rsidR="00F13856">
        <w:rPr>
          <w:color w:val="auto"/>
        </w:rPr>
        <w:t>Business Unit</w:t>
      </w:r>
      <w:r w:rsidR="00E07DD2" w:rsidRPr="00896DC4">
        <w:rPr>
          <w:color w:val="auto"/>
        </w:rPr>
        <w:t xml:space="preserve"> </w:t>
      </w:r>
      <w:r w:rsidRPr="00896DC4">
        <w:rPr>
          <w:color w:val="auto"/>
        </w:rPr>
        <w:t>and cases over £5</w:t>
      </w:r>
      <w:r w:rsidR="00E07DD2" w:rsidRPr="00896DC4">
        <w:rPr>
          <w:color w:val="auto"/>
        </w:rPr>
        <w:t>0</w:t>
      </w:r>
      <w:r w:rsidRPr="00896DC4">
        <w:rPr>
          <w:color w:val="auto"/>
        </w:rPr>
        <w:t>,000 require approval from the</w:t>
      </w:r>
      <w:r w:rsidR="00E07DD2" w:rsidRPr="00896DC4">
        <w:rPr>
          <w:color w:val="auto"/>
        </w:rPr>
        <w:t xml:space="preserve"> </w:t>
      </w:r>
      <w:r w:rsidR="00900A93" w:rsidRPr="00896DC4">
        <w:rPr>
          <w:color w:val="auto"/>
        </w:rPr>
        <w:t>Finance, Performance and Contracting Committee.</w:t>
      </w:r>
    </w:p>
    <w:p w14:paraId="2EEAAF18" w14:textId="77777777" w:rsidR="00C80670" w:rsidRDefault="00C80670" w:rsidP="00C80670"/>
    <w:p w14:paraId="309D408C" w14:textId="76B1FDDF" w:rsidR="001917A2" w:rsidRDefault="001917A2" w:rsidP="001917A2">
      <w:pPr>
        <w:pStyle w:val="Heading2"/>
        <w:spacing w:before="0" w:line="240" w:lineRule="auto"/>
        <w:ind w:left="720" w:hanging="578"/>
      </w:pPr>
      <w:r>
        <w:t>Education and Training</w:t>
      </w:r>
    </w:p>
    <w:p w14:paraId="1F46AF58" w14:textId="48BD9FB0" w:rsidR="00997379" w:rsidRDefault="00997379" w:rsidP="00997379">
      <w:pPr>
        <w:spacing w:line="240" w:lineRule="auto"/>
        <w:ind w:left="425"/>
        <w:jc w:val="both"/>
        <w:rPr>
          <w:color w:val="auto"/>
        </w:rPr>
      </w:pPr>
      <w:r w:rsidRPr="00997379">
        <w:rPr>
          <w:color w:val="auto"/>
        </w:rPr>
        <w:t xml:space="preserve">All staff involved in the </w:t>
      </w:r>
      <w:r w:rsidR="00A066A1">
        <w:rPr>
          <w:color w:val="auto"/>
        </w:rPr>
        <w:t>IFR</w:t>
      </w:r>
      <w:r w:rsidRPr="00997379">
        <w:rPr>
          <w:color w:val="auto"/>
        </w:rPr>
        <w:t xml:space="preserve"> process should have the necessary skills and expertise to enable them to make effective decisions and will be required to attend regular training. This will include (but is not limited to):</w:t>
      </w:r>
    </w:p>
    <w:p w14:paraId="5F997D33" w14:textId="06F9A64B" w:rsidR="00997379" w:rsidRDefault="00A066A1" w:rsidP="00997379">
      <w:pPr>
        <w:pStyle w:val="ListParagraph"/>
        <w:numPr>
          <w:ilvl w:val="0"/>
          <w:numId w:val="15"/>
        </w:numPr>
        <w:spacing w:line="240" w:lineRule="auto"/>
        <w:jc w:val="both"/>
        <w:rPr>
          <w:color w:val="auto"/>
        </w:rPr>
      </w:pPr>
      <w:r>
        <w:rPr>
          <w:color w:val="auto"/>
        </w:rPr>
        <w:t>L</w:t>
      </w:r>
      <w:r w:rsidR="00997379" w:rsidRPr="00997379">
        <w:rPr>
          <w:color w:val="auto"/>
        </w:rPr>
        <w:t xml:space="preserve">egal update - provided by </w:t>
      </w:r>
      <w:r>
        <w:rPr>
          <w:color w:val="auto"/>
        </w:rPr>
        <w:t>S</w:t>
      </w:r>
      <w:r w:rsidR="00997379" w:rsidRPr="00997379">
        <w:rPr>
          <w:color w:val="auto"/>
        </w:rPr>
        <w:t>olicitors.</w:t>
      </w:r>
    </w:p>
    <w:p w14:paraId="60325064" w14:textId="5E4226F5" w:rsidR="00997379" w:rsidRDefault="00A066A1" w:rsidP="00997379">
      <w:pPr>
        <w:pStyle w:val="ListParagraph"/>
        <w:numPr>
          <w:ilvl w:val="0"/>
          <w:numId w:val="15"/>
        </w:numPr>
        <w:spacing w:line="240" w:lineRule="auto"/>
        <w:jc w:val="both"/>
        <w:rPr>
          <w:color w:val="auto"/>
        </w:rPr>
      </w:pPr>
      <w:r>
        <w:rPr>
          <w:color w:val="auto"/>
        </w:rPr>
        <w:t>P</w:t>
      </w:r>
      <w:r w:rsidR="00997379" w:rsidRPr="00997379">
        <w:rPr>
          <w:color w:val="auto"/>
        </w:rPr>
        <w:t xml:space="preserve">eer learning - this is to provide </w:t>
      </w:r>
      <w:r>
        <w:rPr>
          <w:color w:val="auto"/>
        </w:rPr>
        <w:t>P</w:t>
      </w:r>
      <w:r w:rsidR="00997379" w:rsidRPr="00997379">
        <w:rPr>
          <w:color w:val="auto"/>
        </w:rPr>
        <w:t xml:space="preserve">anel members / </w:t>
      </w:r>
      <w:r>
        <w:rPr>
          <w:color w:val="auto"/>
        </w:rPr>
        <w:t>D</w:t>
      </w:r>
      <w:r w:rsidR="00997379" w:rsidRPr="00997379">
        <w:rPr>
          <w:color w:val="auto"/>
        </w:rPr>
        <w:t xml:space="preserve">ecision </w:t>
      </w:r>
      <w:r>
        <w:rPr>
          <w:color w:val="auto"/>
        </w:rPr>
        <w:t>M</w:t>
      </w:r>
      <w:r w:rsidR="00997379" w:rsidRPr="00997379">
        <w:rPr>
          <w:color w:val="auto"/>
        </w:rPr>
        <w:t xml:space="preserve">akers with the opportunity to review cases and the decisions which have been made </w:t>
      </w:r>
      <w:r w:rsidR="00A32D05">
        <w:rPr>
          <w:color w:val="auto"/>
        </w:rPr>
        <w:t>P</w:t>
      </w:r>
      <w:r w:rsidR="00997379" w:rsidRPr="00997379">
        <w:rPr>
          <w:color w:val="auto"/>
        </w:rPr>
        <w:t xml:space="preserve">anels over the </w:t>
      </w:r>
      <w:r w:rsidR="00FB58D2">
        <w:rPr>
          <w:color w:val="auto"/>
        </w:rPr>
        <w:t>previous year</w:t>
      </w:r>
      <w:r w:rsidR="00997379" w:rsidRPr="00997379">
        <w:rPr>
          <w:color w:val="auto"/>
        </w:rPr>
        <w:t>.</w:t>
      </w:r>
    </w:p>
    <w:p w14:paraId="1C6297F6" w14:textId="3C398F1C" w:rsidR="00997379" w:rsidRDefault="00A32D05" w:rsidP="00997379">
      <w:pPr>
        <w:pStyle w:val="ListParagraph"/>
        <w:numPr>
          <w:ilvl w:val="0"/>
          <w:numId w:val="15"/>
        </w:numPr>
        <w:spacing w:line="240" w:lineRule="auto"/>
        <w:jc w:val="both"/>
        <w:rPr>
          <w:color w:val="auto"/>
        </w:rPr>
      </w:pPr>
      <w:r>
        <w:rPr>
          <w:color w:val="auto"/>
        </w:rPr>
        <w:t>R</w:t>
      </w:r>
      <w:r w:rsidR="00997379" w:rsidRPr="00997379">
        <w:rPr>
          <w:color w:val="auto"/>
        </w:rPr>
        <w:t xml:space="preserve">eflective learning - reviewing the numbers of </w:t>
      </w:r>
      <w:r>
        <w:rPr>
          <w:color w:val="auto"/>
        </w:rPr>
        <w:t>IFR</w:t>
      </w:r>
      <w:r w:rsidR="00997379" w:rsidRPr="00997379">
        <w:rPr>
          <w:color w:val="auto"/>
        </w:rPr>
        <w:t xml:space="preserve"> / cases presented at </w:t>
      </w:r>
      <w:r>
        <w:rPr>
          <w:color w:val="auto"/>
        </w:rPr>
        <w:t>P</w:t>
      </w:r>
      <w:r w:rsidR="00997379" w:rsidRPr="00997379">
        <w:rPr>
          <w:color w:val="auto"/>
        </w:rPr>
        <w:t>anel including the outcome.</w:t>
      </w:r>
    </w:p>
    <w:p w14:paraId="66CA5604" w14:textId="7D7A3F77" w:rsidR="00997379" w:rsidRDefault="00A32D05" w:rsidP="00997379">
      <w:pPr>
        <w:pStyle w:val="ListParagraph"/>
        <w:numPr>
          <w:ilvl w:val="0"/>
          <w:numId w:val="15"/>
        </w:numPr>
        <w:spacing w:line="240" w:lineRule="auto"/>
        <w:jc w:val="both"/>
        <w:rPr>
          <w:color w:val="auto"/>
        </w:rPr>
      </w:pPr>
      <w:r>
        <w:rPr>
          <w:color w:val="auto"/>
        </w:rPr>
        <w:t>IFR</w:t>
      </w:r>
      <w:r w:rsidR="00997379" w:rsidRPr="00997379">
        <w:rPr>
          <w:color w:val="auto"/>
        </w:rPr>
        <w:t xml:space="preserve"> team workshops</w:t>
      </w:r>
    </w:p>
    <w:p w14:paraId="23E03F3B" w14:textId="4178BA29" w:rsidR="00997379" w:rsidRDefault="00A32D05" w:rsidP="00997379">
      <w:pPr>
        <w:pStyle w:val="ListParagraph"/>
        <w:numPr>
          <w:ilvl w:val="0"/>
          <w:numId w:val="15"/>
        </w:numPr>
        <w:spacing w:line="240" w:lineRule="auto"/>
        <w:jc w:val="both"/>
        <w:rPr>
          <w:color w:val="auto"/>
        </w:rPr>
      </w:pPr>
      <w:r>
        <w:rPr>
          <w:color w:val="auto"/>
        </w:rPr>
        <w:t>C</w:t>
      </w:r>
      <w:r w:rsidR="00997379" w:rsidRPr="00997379">
        <w:rPr>
          <w:color w:val="auto"/>
        </w:rPr>
        <w:t xml:space="preserve">onflicts of </w:t>
      </w:r>
      <w:r>
        <w:rPr>
          <w:color w:val="auto"/>
        </w:rPr>
        <w:t>I</w:t>
      </w:r>
      <w:r w:rsidR="00997379" w:rsidRPr="00997379">
        <w:rPr>
          <w:color w:val="auto"/>
        </w:rPr>
        <w:t>nterest e-learning</w:t>
      </w:r>
    </w:p>
    <w:p w14:paraId="71AC2882" w14:textId="6B6939D0" w:rsidR="00997379" w:rsidRPr="00997379" w:rsidRDefault="00A32D05" w:rsidP="00997379">
      <w:pPr>
        <w:pStyle w:val="ListParagraph"/>
        <w:numPr>
          <w:ilvl w:val="0"/>
          <w:numId w:val="15"/>
        </w:numPr>
        <w:spacing w:line="240" w:lineRule="auto"/>
        <w:jc w:val="both"/>
        <w:rPr>
          <w:color w:val="auto"/>
        </w:rPr>
      </w:pPr>
      <w:r>
        <w:rPr>
          <w:color w:val="auto"/>
        </w:rPr>
        <w:t>D</w:t>
      </w:r>
      <w:r w:rsidR="00997379" w:rsidRPr="00997379">
        <w:rPr>
          <w:color w:val="auto"/>
        </w:rPr>
        <w:t xml:space="preserve">ata </w:t>
      </w:r>
      <w:r>
        <w:rPr>
          <w:color w:val="auto"/>
        </w:rPr>
        <w:t>S</w:t>
      </w:r>
      <w:r w:rsidR="00997379" w:rsidRPr="00997379">
        <w:rPr>
          <w:color w:val="auto"/>
        </w:rPr>
        <w:t>ecurity e-learning</w:t>
      </w:r>
    </w:p>
    <w:p w14:paraId="13FD0DCB" w14:textId="77777777" w:rsidR="00037608" w:rsidRPr="00DC78A6" w:rsidRDefault="00037608" w:rsidP="000D3FF5">
      <w:pPr>
        <w:pStyle w:val="BodyText"/>
        <w:widowControl w:val="0"/>
        <w:autoSpaceDE w:val="0"/>
        <w:autoSpaceDN w:val="0"/>
        <w:spacing w:before="4" w:line="276" w:lineRule="auto"/>
        <w:ind w:left="1080" w:right="378"/>
        <w:rPr>
          <w:iCs/>
          <w:color w:val="auto"/>
          <w:szCs w:val="24"/>
        </w:rPr>
      </w:pPr>
    </w:p>
    <w:p w14:paraId="3EF1EE1C" w14:textId="42C7BA8E" w:rsidR="00116688" w:rsidRPr="00116688" w:rsidRDefault="00037608" w:rsidP="00116688">
      <w:pPr>
        <w:pStyle w:val="Heading1"/>
        <w:spacing w:line="240" w:lineRule="auto"/>
        <w:ind w:left="856" w:hanging="431"/>
      </w:pPr>
      <w:r>
        <w:t>Public Sector Equality Duty</w:t>
      </w:r>
    </w:p>
    <w:p w14:paraId="5B3256B7" w14:textId="77777777" w:rsidR="00116688" w:rsidRDefault="00116688" w:rsidP="00116688">
      <w:pPr>
        <w:spacing w:line="240" w:lineRule="auto"/>
        <w:ind w:left="425"/>
        <w:jc w:val="both"/>
        <w:rPr>
          <w:color w:val="auto"/>
        </w:rPr>
      </w:pPr>
      <w:r w:rsidRPr="00116688">
        <w:rPr>
          <w:color w:val="auto"/>
        </w:rPr>
        <w:t>Promoting equality and addressing health inequalities are at the heart of the Humber and North Yorkshire Integrated Care Board's values. Throughout the development of this policy statement, Humber and North Yorkshire ICB has:</w:t>
      </w:r>
    </w:p>
    <w:p w14:paraId="69F14F27" w14:textId="77777777" w:rsidR="00116688" w:rsidRDefault="00116688" w:rsidP="00116688">
      <w:pPr>
        <w:pStyle w:val="ListParagraph"/>
        <w:numPr>
          <w:ilvl w:val="0"/>
          <w:numId w:val="17"/>
        </w:numPr>
        <w:spacing w:line="240" w:lineRule="auto"/>
        <w:jc w:val="both"/>
        <w:rPr>
          <w:color w:val="auto"/>
        </w:rPr>
      </w:pPr>
      <w:r w:rsidRPr="00116688">
        <w:rPr>
          <w:color w:val="auto"/>
        </w:rPr>
        <w:t>given due regard to the need to eliminate discrimination, harassment, and victimisation, to advance equality of opportunity, and to foster good relations between people who share a relevant protected characteristic (as cited under the Equality Act 2010) and those who do not share it; and</w:t>
      </w:r>
    </w:p>
    <w:p w14:paraId="0F966EFA" w14:textId="05C4CCCC" w:rsidR="00116688" w:rsidRPr="00116688" w:rsidRDefault="00116688" w:rsidP="00116688">
      <w:pPr>
        <w:pStyle w:val="ListParagraph"/>
        <w:numPr>
          <w:ilvl w:val="0"/>
          <w:numId w:val="17"/>
        </w:numPr>
        <w:spacing w:line="240" w:lineRule="auto"/>
        <w:jc w:val="both"/>
        <w:rPr>
          <w:color w:val="auto"/>
        </w:rPr>
      </w:pPr>
      <w:r w:rsidRPr="00116688">
        <w:rPr>
          <w:color w:val="auto"/>
        </w:rPr>
        <w:t>given regard to the need to reduce inequalities between patients in access to, and outcomes from healthcare services and to ensure services are provided in an integrated way where this might reduce health inequalities.</w:t>
      </w:r>
    </w:p>
    <w:p w14:paraId="192C32BB" w14:textId="77777777" w:rsidR="00116688" w:rsidRPr="00116688" w:rsidRDefault="00116688" w:rsidP="00116688">
      <w:pPr>
        <w:spacing w:line="240" w:lineRule="auto"/>
        <w:ind w:left="425"/>
        <w:jc w:val="both"/>
        <w:rPr>
          <w:color w:val="auto"/>
        </w:rPr>
      </w:pPr>
    </w:p>
    <w:p w14:paraId="4FA2F577" w14:textId="77777777" w:rsidR="00116688" w:rsidRPr="00116688" w:rsidRDefault="00116688" w:rsidP="00116688">
      <w:pPr>
        <w:spacing w:line="240" w:lineRule="auto"/>
        <w:ind w:left="425"/>
        <w:jc w:val="both"/>
        <w:rPr>
          <w:color w:val="auto"/>
        </w:rPr>
      </w:pPr>
      <w:r w:rsidRPr="00116688">
        <w:rPr>
          <w:color w:val="auto"/>
        </w:rPr>
        <w:t>As a result of performing the analysis, the policy, project, or function does not appear to have any adverse effects on people who share protected characteristics, and no further actions are recommended at this stage.</w:t>
      </w:r>
    </w:p>
    <w:p w14:paraId="0B142847" w14:textId="6CB3F395" w:rsidR="00F12FE9" w:rsidRDefault="00F12FE9" w:rsidP="003535A1">
      <w:pPr>
        <w:spacing w:line="240" w:lineRule="auto"/>
        <w:rPr>
          <w:color w:val="auto"/>
        </w:rPr>
      </w:pPr>
    </w:p>
    <w:p w14:paraId="251273EE" w14:textId="77777777" w:rsidR="00116688" w:rsidRPr="00DC78A6" w:rsidRDefault="00116688" w:rsidP="00A32D05">
      <w:pPr>
        <w:spacing w:line="240" w:lineRule="auto"/>
        <w:rPr>
          <w:color w:val="auto"/>
        </w:rPr>
      </w:pPr>
    </w:p>
    <w:p w14:paraId="6C13F373" w14:textId="645992A6" w:rsidR="00AE286E" w:rsidRPr="00A346C6" w:rsidRDefault="000728EA" w:rsidP="000728EA">
      <w:pPr>
        <w:pStyle w:val="Heading1"/>
        <w:spacing w:line="240" w:lineRule="auto"/>
        <w:ind w:left="856" w:hanging="431"/>
      </w:pPr>
      <w:r>
        <w:t>Arrangements for review</w:t>
      </w:r>
    </w:p>
    <w:p w14:paraId="50846FB3" w14:textId="77777777" w:rsidR="008F3DEE" w:rsidRPr="008F3DEE" w:rsidRDefault="008F3DEE" w:rsidP="008F3DEE">
      <w:pPr>
        <w:spacing w:line="240" w:lineRule="auto"/>
        <w:ind w:left="425"/>
        <w:jc w:val="both"/>
        <w:rPr>
          <w:color w:val="auto"/>
        </w:rPr>
      </w:pPr>
      <w:bookmarkStart w:id="16" w:name="_Toc430791108"/>
      <w:bookmarkStart w:id="17" w:name="_Toc146097543"/>
      <w:r w:rsidRPr="008F3DEE">
        <w:rPr>
          <w:color w:val="auto"/>
        </w:rPr>
        <w:t>This policy will be reviewed not less than every two years.  Earlier review may be required in response to exceptional circumstances, organisational change, or relevant changes in legislation / guidance, as instructed by the senior manager responsible for this policy.</w:t>
      </w:r>
    </w:p>
    <w:p w14:paraId="1C2866CF" w14:textId="77777777" w:rsidR="008C5733" w:rsidRDefault="008C5733" w:rsidP="008F3DEE"/>
    <w:bookmarkEnd w:id="16"/>
    <w:bookmarkEnd w:id="17"/>
    <w:p w14:paraId="51C4D9B7" w14:textId="0EFF4DF1" w:rsidR="00AE286E" w:rsidRPr="00DC78A6" w:rsidRDefault="008F3DEE" w:rsidP="003D0DDE">
      <w:pPr>
        <w:pStyle w:val="Heading1"/>
        <w:spacing w:line="240" w:lineRule="auto"/>
        <w:ind w:left="856" w:hanging="431"/>
      </w:pPr>
      <w:r>
        <w:t xml:space="preserve">Dissemination </w:t>
      </w:r>
    </w:p>
    <w:p w14:paraId="76A317CB" w14:textId="77777777" w:rsidR="003D0DDE" w:rsidRPr="003D0DDE" w:rsidRDefault="003D0DDE" w:rsidP="003D0DDE">
      <w:pPr>
        <w:spacing w:line="240" w:lineRule="auto"/>
        <w:ind w:left="425"/>
        <w:jc w:val="both"/>
        <w:rPr>
          <w:color w:val="auto"/>
        </w:rPr>
      </w:pPr>
      <w:r w:rsidRPr="003D0DDE">
        <w:rPr>
          <w:color w:val="auto"/>
        </w:rPr>
        <w:t>The policy will be shared with the staff, healthcare professionals and the public via the ICB website and through relevant communication tools / meetings.</w:t>
      </w:r>
    </w:p>
    <w:p w14:paraId="741C18C5" w14:textId="77777777" w:rsidR="00DD443C" w:rsidRPr="00DD443C" w:rsidRDefault="00DD443C" w:rsidP="00B2281D"/>
    <w:p w14:paraId="74EF2F14" w14:textId="67D97EA7" w:rsidR="00DD443C" w:rsidRDefault="000E3813" w:rsidP="00DD443C">
      <w:pPr>
        <w:pStyle w:val="Heading1"/>
      </w:pPr>
      <w:bookmarkStart w:id="18" w:name="_Toc430791111"/>
      <w:bookmarkStart w:id="19" w:name="_Toc146097546"/>
      <w:r>
        <w:t>Associated Document</w:t>
      </w:r>
      <w:bookmarkEnd w:id="18"/>
      <w:r>
        <w:t>ation</w:t>
      </w:r>
      <w:bookmarkEnd w:id="19"/>
    </w:p>
    <w:p w14:paraId="20E7BAB6" w14:textId="733C82C0" w:rsidR="0092653D" w:rsidRPr="00B14051" w:rsidRDefault="00B14051" w:rsidP="00B01922">
      <w:pPr>
        <w:pStyle w:val="ListParagraph"/>
        <w:numPr>
          <w:ilvl w:val="0"/>
          <w:numId w:val="3"/>
        </w:numPr>
        <w:spacing w:line="240" w:lineRule="auto"/>
        <w:rPr>
          <w:color w:val="auto"/>
        </w:rPr>
      </w:pPr>
      <w:r w:rsidRPr="00B14051">
        <w:rPr>
          <w:color w:val="auto"/>
        </w:rPr>
        <w:t>IFR Standard Operating Procedure</w:t>
      </w:r>
    </w:p>
    <w:p w14:paraId="4D2CD299" w14:textId="48A85C20" w:rsidR="00B14051" w:rsidRPr="00B14051" w:rsidRDefault="00B14051" w:rsidP="00B01922">
      <w:pPr>
        <w:pStyle w:val="ListParagraph"/>
        <w:numPr>
          <w:ilvl w:val="0"/>
          <w:numId w:val="3"/>
        </w:numPr>
        <w:spacing w:line="240" w:lineRule="auto"/>
        <w:rPr>
          <w:color w:val="auto"/>
        </w:rPr>
      </w:pPr>
      <w:r w:rsidRPr="00B14051">
        <w:rPr>
          <w:color w:val="auto"/>
        </w:rPr>
        <w:t>IFR Panel Terms of Reference</w:t>
      </w:r>
    </w:p>
    <w:p w14:paraId="00019F71" w14:textId="77777777" w:rsidR="000E3813" w:rsidRDefault="000E3813" w:rsidP="000E3813">
      <w:pPr>
        <w:spacing w:line="240" w:lineRule="auto"/>
        <w:ind w:left="856"/>
        <w:rPr>
          <w:color w:val="auto"/>
        </w:rPr>
      </w:pPr>
    </w:p>
    <w:p w14:paraId="31A55FAF" w14:textId="77777777" w:rsidR="00846B0C" w:rsidRPr="000E3813" w:rsidRDefault="00846B0C" w:rsidP="000E3813">
      <w:pPr>
        <w:spacing w:line="240" w:lineRule="auto"/>
        <w:ind w:left="856"/>
        <w:rPr>
          <w:color w:val="auto"/>
        </w:rPr>
      </w:pPr>
    </w:p>
    <w:p w14:paraId="4CEF6A6F" w14:textId="6520C5C6" w:rsidR="0092653D" w:rsidRDefault="000E3813" w:rsidP="00B630F6">
      <w:pPr>
        <w:pStyle w:val="Heading1"/>
        <w:spacing w:line="240" w:lineRule="auto"/>
        <w:ind w:left="856" w:hanging="431"/>
      </w:pPr>
      <w:bookmarkStart w:id="20" w:name="_Toc146097547"/>
      <w:r>
        <w:t>References</w:t>
      </w:r>
      <w:bookmarkEnd w:id="20"/>
    </w:p>
    <w:p w14:paraId="221183B8" w14:textId="77777777" w:rsidR="00B630F6" w:rsidRPr="00B630F6" w:rsidRDefault="00B630F6" w:rsidP="00FB1F60">
      <w:pPr>
        <w:spacing w:line="240" w:lineRule="auto"/>
        <w:ind w:left="425"/>
        <w:rPr>
          <w:color w:val="auto"/>
        </w:rPr>
      </w:pPr>
      <w:r w:rsidRPr="00B630F6">
        <w:rPr>
          <w:color w:val="auto"/>
        </w:rPr>
        <w:t xml:space="preserve">“Priority Setting: managing individual funding requests”, the NHS Confederation, 2008, NHS Institute for Innovation and Improvement is available at </w:t>
      </w:r>
      <w:hyperlink r:id="rId13" w:history="1">
        <w:r w:rsidRPr="00B630F6">
          <w:rPr>
            <w:rStyle w:val="Hyperlink"/>
            <w:color w:val="auto"/>
          </w:rPr>
          <w:t>http://www.nhsconfed.org/Publications/Pages/Prioritysettingfunding.aspx</w:t>
        </w:r>
      </w:hyperlink>
    </w:p>
    <w:p w14:paraId="14F6EEA2" w14:textId="77777777" w:rsidR="00B630F6" w:rsidRPr="00B630F6" w:rsidRDefault="00B630F6" w:rsidP="00FB1F60">
      <w:pPr>
        <w:spacing w:line="240" w:lineRule="auto"/>
        <w:ind w:left="425"/>
        <w:rPr>
          <w:color w:val="auto"/>
        </w:rPr>
      </w:pPr>
    </w:p>
    <w:p w14:paraId="602D6696" w14:textId="77777777" w:rsidR="00B630F6" w:rsidRPr="00B630F6" w:rsidRDefault="00B630F6" w:rsidP="00FB1F60">
      <w:pPr>
        <w:spacing w:line="240" w:lineRule="auto"/>
        <w:ind w:left="425"/>
        <w:rPr>
          <w:color w:val="auto"/>
        </w:rPr>
      </w:pPr>
      <w:r w:rsidRPr="00B630F6">
        <w:rPr>
          <w:color w:val="auto"/>
        </w:rPr>
        <w:t xml:space="preserve">Regulation 35 of the National Health Service Commissioning Board and Clinical Commissioning Groups (Responsibility and Standing Rules) Regulations 2012 (SI 2012 No 2996) is available at </w:t>
      </w:r>
      <w:hyperlink r:id="rId14" w:history="1">
        <w:r w:rsidRPr="00B630F6">
          <w:rPr>
            <w:rStyle w:val="Hyperlink"/>
            <w:color w:val="auto"/>
          </w:rPr>
          <w:t>http://www.legislation.gov.uk/uksi/2012/2996/made</w:t>
        </w:r>
      </w:hyperlink>
    </w:p>
    <w:p w14:paraId="48C56900" w14:textId="77777777" w:rsidR="00B630F6" w:rsidRPr="00B630F6" w:rsidRDefault="00B630F6" w:rsidP="00FB1F60">
      <w:pPr>
        <w:spacing w:line="240" w:lineRule="auto"/>
        <w:ind w:left="425"/>
        <w:rPr>
          <w:color w:val="auto"/>
        </w:rPr>
      </w:pPr>
    </w:p>
    <w:p w14:paraId="5859FD0A" w14:textId="77777777" w:rsidR="00B630F6" w:rsidRPr="00B630F6" w:rsidRDefault="00B630F6" w:rsidP="00FB1F60">
      <w:pPr>
        <w:spacing w:line="240" w:lineRule="auto"/>
        <w:ind w:left="425"/>
        <w:rPr>
          <w:color w:val="auto"/>
        </w:rPr>
      </w:pPr>
      <w:r w:rsidRPr="00B630F6">
        <w:rPr>
          <w:color w:val="auto"/>
        </w:rPr>
        <w:t xml:space="preserve">The NHS Constitution for England, DH, March 2013 is available at </w:t>
      </w:r>
      <w:hyperlink r:id="rId15" w:history="1">
        <w:r w:rsidRPr="00B630F6">
          <w:rPr>
            <w:rStyle w:val="Hyperlink"/>
            <w:color w:val="auto"/>
          </w:rPr>
          <w:t>https://www.gov.uk/government/publications/the-nhs-constitution-for-england</w:t>
        </w:r>
      </w:hyperlink>
    </w:p>
    <w:p w14:paraId="0F4D52E2" w14:textId="77777777" w:rsidR="00B630F6" w:rsidRPr="00B630F6" w:rsidRDefault="00B630F6" w:rsidP="00FB1F60">
      <w:pPr>
        <w:spacing w:line="240" w:lineRule="auto"/>
        <w:ind w:left="425"/>
        <w:rPr>
          <w:color w:val="auto"/>
        </w:rPr>
      </w:pPr>
    </w:p>
    <w:p w14:paraId="2471714F" w14:textId="77777777" w:rsidR="00B630F6" w:rsidRPr="00B630F6" w:rsidRDefault="00B630F6" w:rsidP="00FB1F60">
      <w:pPr>
        <w:spacing w:line="240" w:lineRule="auto"/>
        <w:ind w:left="425"/>
        <w:rPr>
          <w:color w:val="auto"/>
        </w:rPr>
      </w:pPr>
      <w:r w:rsidRPr="00B630F6">
        <w:rPr>
          <w:color w:val="auto"/>
        </w:rPr>
        <w:t xml:space="preserve">Supporting rational local decision-making about medicines (and treatments), a handbook of good practice guidance, National Prescribing Centre, February 2009 is available at </w:t>
      </w:r>
      <w:hyperlink r:id="rId16" w:history="1">
        <w:r w:rsidRPr="00B630F6">
          <w:rPr>
            <w:rStyle w:val="Hyperlink"/>
            <w:color w:val="auto"/>
          </w:rPr>
          <w:t>http://www.npc.co.uk/local_decision_making/resources/handbook_complete.pdf</w:t>
        </w:r>
      </w:hyperlink>
    </w:p>
    <w:p w14:paraId="2F14A8EF" w14:textId="77777777" w:rsidR="00B630F6" w:rsidRPr="00B630F6" w:rsidRDefault="00B630F6" w:rsidP="00FB1F60">
      <w:pPr>
        <w:spacing w:line="240" w:lineRule="auto"/>
        <w:ind w:left="425"/>
        <w:rPr>
          <w:color w:val="auto"/>
        </w:rPr>
      </w:pPr>
    </w:p>
    <w:p w14:paraId="46A1AC5F" w14:textId="77777777" w:rsidR="00B630F6" w:rsidRPr="00B630F6" w:rsidRDefault="00B630F6" w:rsidP="00FB1F60">
      <w:pPr>
        <w:spacing w:line="240" w:lineRule="auto"/>
        <w:ind w:left="425"/>
        <w:rPr>
          <w:color w:val="auto"/>
        </w:rPr>
      </w:pPr>
      <w:r w:rsidRPr="00B630F6">
        <w:rPr>
          <w:color w:val="auto"/>
        </w:rPr>
        <w:t xml:space="preserve">Guidance on NHS patients who wish to pay for additional private care, </w:t>
      </w:r>
      <w:proofErr w:type="spellStart"/>
      <w:r w:rsidRPr="00B630F6">
        <w:rPr>
          <w:color w:val="auto"/>
        </w:rPr>
        <w:t>DoH</w:t>
      </w:r>
      <w:proofErr w:type="spellEnd"/>
      <w:r w:rsidRPr="00B630F6">
        <w:rPr>
          <w:color w:val="auto"/>
        </w:rPr>
        <w:t xml:space="preserve">, March 2009 is available at </w:t>
      </w:r>
      <w:hyperlink r:id="rId17" w:history="1">
        <w:r w:rsidRPr="00B630F6">
          <w:rPr>
            <w:rStyle w:val="Hyperlink"/>
            <w:color w:val="auto"/>
          </w:rPr>
          <w:t xml:space="preserve">http://webarchive.nationalarchives.gov.uk/+/www.dh.gov.uk/en/Consultations/Respon </w:t>
        </w:r>
        <w:proofErr w:type="spellStart"/>
        <w:r w:rsidRPr="00B630F6">
          <w:rPr>
            <w:rStyle w:val="Hyperlink"/>
            <w:color w:val="auto"/>
          </w:rPr>
          <w:t>sestoconsultations</w:t>
        </w:r>
        <w:proofErr w:type="spellEnd"/>
        <w:r w:rsidRPr="00B630F6">
          <w:rPr>
            <w:rStyle w:val="Hyperlink"/>
            <w:color w:val="auto"/>
          </w:rPr>
          <w:t>/DH_096428</w:t>
        </w:r>
      </w:hyperlink>
    </w:p>
    <w:p w14:paraId="435E804B" w14:textId="77777777" w:rsidR="00B630F6" w:rsidRDefault="00B630F6" w:rsidP="00FB1F60"/>
    <w:p w14:paraId="1B6C978A" w14:textId="77777777" w:rsidR="00B630F6" w:rsidRPr="00B630F6" w:rsidRDefault="00B630F6" w:rsidP="00FB1F60">
      <w:pPr>
        <w:spacing w:line="240" w:lineRule="auto"/>
        <w:ind w:left="425"/>
        <w:rPr>
          <w:color w:val="auto"/>
        </w:rPr>
      </w:pPr>
      <w:r w:rsidRPr="00B630F6">
        <w:rPr>
          <w:color w:val="auto"/>
        </w:rPr>
        <w:t xml:space="preserve">The Operating Framework for the NHS in England 2012 / 13, </w:t>
      </w:r>
      <w:proofErr w:type="spellStart"/>
      <w:r w:rsidRPr="00B630F6">
        <w:rPr>
          <w:color w:val="auto"/>
        </w:rPr>
        <w:t>DoH</w:t>
      </w:r>
      <w:proofErr w:type="spellEnd"/>
      <w:r w:rsidRPr="00B630F6">
        <w:rPr>
          <w:color w:val="auto"/>
        </w:rPr>
        <w:t xml:space="preserve">, December 2011 is available at </w:t>
      </w:r>
      <w:hyperlink r:id="rId18" w:history="1">
        <w:r w:rsidRPr="00B630F6">
          <w:rPr>
            <w:rStyle w:val="Hyperlink"/>
            <w:color w:val="auto"/>
          </w:rPr>
          <w:t>https://www.gov.uk/government/publications/the-operating- framework-for-the-nhs-in-england-2012-13</w:t>
        </w:r>
      </w:hyperlink>
    </w:p>
    <w:p w14:paraId="15930BA8" w14:textId="77777777" w:rsidR="0092653D" w:rsidRPr="000E3813" w:rsidRDefault="0092653D" w:rsidP="00B01922">
      <w:pPr>
        <w:spacing w:line="240" w:lineRule="auto"/>
        <w:rPr>
          <w:color w:val="auto"/>
        </w:rPr>
      </w:pPr>
    </w:p>
    <w:p w14:paraId="16EE19AA" w14:textId="1D4A57FF" w:rsidR="009A3AAE" w:rsidRPr="00DC78A6" w:rsidRDefault="000E3813" w:rsidP="000E3813">
      <w:pPr>
        <w:pStyle w:val="Heading1"/>
      </w:pPr>
      <w:bookmarkStart w:id="21" w:name="_Toc146097548"/>
      <w:r w:rsidRPr="00DC78A6">
        <w:t>Appendices</w:t>
      </w:r>
      <w:bookmarkEnd w:id="21"/>
    </w:p>
    <w:p w14:paraId="481E9991" w14:textId="24D3E737" w:rsidR="000E3813" w:rsidRDefault="000E3813" w:rsidP="000E3813">
      <w:pPr>
        <w:spacing w:line="240" w:lineRule="auto"/>
        <w:ind w:left="856"/>
        <w:rPr>
          <w:color w:val="auto"/>
        </w:rPr>
      </w:pPr>
      <w:r w:rsidRPr="000E3813">
        <w:rPr>
          <w:color w:val="auto"/>
        </w:rPr>
        <w:t>List appendices (as required) for the policy, ensuring these are referred to appropriately in the document and list these on the contents page</w:t>
      </w:r>
    </w:p>
    <w:p w14:paraId="2E889204" w14:textId="76C6C4DE" w:rsidR="009F2C13" w:rsidRDefault="009F2C13" w:rsidP="000E3813">
      <w:pPr>
        <w:spacing w:line="240" w:lineRule="auto"/>
        <w:ind w:left="856"/>
        <w:rPr>
          <w:color w:val="auto"/>
        </w:rPr>
      </w:pPr>
    </w:p>
    <w:p w14:paraId="7059E239" w14:textId="4CEF844F" w:rsidR="009F2C13" w:rsidRPr="001150C8" w:rsidRDefault="009F2C13" w:rsidP="001150C8">
      <w:pPr>
        <w:pStyle w:val="ListParagraph"/>
        <w:numPr>
          <w:ilvl w:val="0"/>
          <w:numId w:val="21"/>
        </w:numPr>
        <w:spacing w:line="240" w:lineRule="auto"/>
        <w:rPr>
          <w:color w:val="auto"/>
        </w:rPr>
      </w:pPr>
      <w:r w:rsidRPr="001150C8">
        <w:rPr>
          <w:color w:val="auto"/>
        </w:rPr>
        <w:t xml:space="preserve">Appendix 1 </w:t>
      </w:r>
      <w:r w:rsidR="00E17CA0" w:rsidRPr="001150C8">
        <w:rPr>
          <w:color w:val="auto"/>
        </w:rPr>
        <w:t>–</w:t>
      </w:r>
      <w:r w:rsidRPr="001150C8">
        <w:rPr>
          <w:color w:val="auto"/>
        </w:rPr>
        <w:t xml:space="preserve"> </w:t>
      </w:r>
      <w:r w:rsidR="002C792A" w:rsidRPr="001150C8">
        <w:rPr>
          <w:color w:val="auto"/>
        </w:rPr>
        <w:t xml:space="preserve">Glossary </w:t>
      </w:r>
      <w:r w:rsidR="00E17CA0" w:rsidRPr="001150C8">
        <w:rPr>
          <w:color w:val="auto"/>
        </w:rPr>
        <w:t xml:space="preserve"> </w:t>
      </w:r>
    </w:p>
    <w:p w14:paraId="78CB65CB" w14:textId="77777777" w:rsidR="000E3813" w:rsidRPr="000E3813" w:rsidRDefault="000E3813" w:rsidP="000E3813"/>
    <w:p w14:paraId="60065930" w14:textId="77777777" w:rsidR="00991EE6" w:rsidRPr="00991EE6" w:rsidRDefault="00991EE6" w:rsidP="00A130F1">
      <w:pPr>
        <w:pStyle w:val="ListParagraph"/>
        <w:spacing w:line="240" w:lineRule="auto"/>
        <w:rPr>
          <w:color w:val="000000" w:themeColor="text1"/>
        </w:rPr>
      </w:pPr>
    </w:p>
    <w:p w14:paraId="0B1E878A" w14:textId="77777777" w:rsidR="008F16A6" w:rsidRDefault="008F16A6" w:rsidP="00316E2C"/>
    <w:p w14:paraId="017BE499" w14:textId="4C7307F4" w:rsidR="008F16A6" w:rsidRDefault="008F16A6" w:rsidP="008F16A6">
      <w:pPr>
        <w:spacing w:line="240" w:lineRule="auto"/>
        <w:rPr>
          <w:b/>
          <w:color w:val="auto"/>
        </w:rPr>
      </w:pPr>
      <w:r w:rsidRPr="008F16A6">
        <w:rPr>
          <w:b/>
          <w:color w:val="auto"/>
        </w:rPr>
        <w:t xml:space="preserve">Appendix 1 </w:t>
      </w:r>
      <w:r w:rsidR="002C792A">
        <w:rPr>
          <w:b/>
          <w:color w:val="auto"/>
        </w:rPr>
        <w:t>–</w:t>
      </w:r>
      <w:r w:rsidR="009F2C13">
        <w:rPr>
          <w:b/>
          <w:color w:val="auto"/>
        </w:rPr>
        <w:t xml:space="preserve"> </w:t>
      </w:r>
      <w:r w:rsidR="002C792A">
        <w:rPr>
          <w:b/>
          <w:color w:val="auto"/>
        </w:rPr>
        <w:t xml:space="preserve">Glossary </w:t>
      </w:r>
    </w:p>
    <w:p w14:paraId="32E0C9FC" w14:textId="77777777" w:rsidR="00E10AF5" w:rsidRPr="00E10AF5" w:rsidRDefault="00E10AF5" w:rsidP="00E10AF5">
      <w:pPr>
        <w:spacing w:line="240" w:lineRule="auto"/>
        <w:ind w:left="425"/>
        <w:jc w:val="both"/>
        <w:rPr>
          <w:bCs/>
          <w:color w:val="auto"/>
        </w:rPr>
      </w:pPr>
      <w:r w:rsidRPr="00E10AF5">
        <w:rPr>
          <w:bCs/>
          <w:color w:val="auto"/>
        </w:rPr>
        <w:t>Below is a list of definitions, roles and responsibilities used within the individual funding request service.</w:t>
      </w:r>
    </w:p>
    <w:p w14:paraId="74B1A621" w14:textId="77777777" w:rsidR="00E10AF5" w:rsidRPr="00E10AF5" w:rsidRDefault="00E10AF5" w:rsidP="00E10AF5">
      <w:pPr>
        <w:spacing w:line="240" w:lineRule="auto"/>
        <w:ind w:left="425"/>
        <w:jc w:val="both"/>
        <w:rPr>
          <w:bCs/>
          <w:color w:val="auto"/>
        </w:rPr>
      </w:pPr>
    </w:p>
    <w:p w14:paraId="5E3F3B2B" w14:textId="77777777" w:rsidR="00E10AF5" w:rsidRPr="00E10AF5" w:rsidRDefault="00E10AF5" w:rsidP="00E10AF5">
      <w:pPr>
        <w:spacing w:line="240" w:lineRule="auto"/>
        <w:ind w:left="425"/>
        <w:jc w:val="both"/>
        <w:rPr>
          <w:b/>
          <w:color w:val="auto"/>
        </w:rPr>
      </w:pPr>
      <w:r w:rsidRPr="00E10AF5">
        <w:rPr>
          <w:b/>
          <w:color w:val="auto"/>
        </w:rPr>
        <w:t>Appeal</w:t>
      </w:r>
    </w:p>
    <w:p w14:paraId="3ACDD223" w14:textId="77777777" w:rsidR="00E10AF5" w:rsidRPr="00E10AF5" w:rsidRDefault="00E10AF5" w:rsidP="00E10AF5">
      <w:pPr>
        <w:spacing w:line="240" w:lineRule="auto"/>
        <w:ind w:left="425"/>
        <w:jc w:val="both"/>
        <w:rPr>
          <w:bCs/>
          <w:color w:val="auto"/>
        </w:rPr>
      </w:pPr>
      <w:r w:rsidRPr="00E10AF5">
        <w:rPr>
          <w:bCs/>
          <w:color w:val="auto"/>
        </w:rPr>
        <w:t>Where the referring clinician feels that due process in considering the individual funding request application has not been followed, a procedural appeal can be requested.</w:t>
      </w:r>
    </w:p>
    <w:p w14:paraId="1E3EDFE8" w14:textId="77777777" w:rsidR="00E10AF5" w:rsidRPr="00E10AF5" w:rsidRDefault="00E10AF5" w:rsidP="00E10AF5">
      <w:pPr>
        <w:spacing w:line="240" w:lineRule="auto"/>
        <w:jc w:val="both"/>
        <w:rPr>
          <w:bCs/>
          <w:color w:val="auto"/>
        </w:rPr>
      </w:pPr>
    </w:p>
    <w:p w14:paraId="6D208C5D" w14:textId="77777777" w:rsidR="00E10AF5" w:rsidRPr="00E10AF5" w:rsidRDefault="00E10AF5" w:rsidP="00E10AF5">
      <w:pPr>
        <w:spacing w:line="240" w:lineRule="auto"/>
        <w:ind w:left="425"/>
        <w:jc w:val="both"/>
        <w:rPr>
          <w:b/>
          <w:color w:val="auto"/>
        </w:rPr>
      </w:pPr>
      <w:r w:rsidRPr="00E10AF5">
        <w:rPr>
          <w:b/>
          <w:color w:val="auto"/>
        </w:rPr>
        <w:t>Evidence based interventions / value based clinical commissioning policies</w:t>
      </w:r>
    </w:p>
    <w:p w14:paraId="14B5CEC3" w14:textId="77777777" w:rsidR="00E10AF5" w:rsidRPr="00E10AF5" w:rsidRDefault="00E10AF5" w:rsidP="00E10AF5">
      <w:pPr>
        <w:spacing w:line="240" w:lineRule="auto"/>
        <w:ind w:left="425"/>
        <w:jc w:val="both"/>
        <w:rPr>
          <w:bCs/>
          <w:color w:val="auto"/>
        </w:rPr>
      </w:pPr>
      <w:r w:rsidRPr="00E10AF5">
        <w:rPr>
          <w:bCs/>
          <w:color w:val="auto"/>
        </w:rPr>
        <w:t>Documents which outline treatments / interventions / procedures not normally provided by the NHS and a set of criteria that must be met for some treatments / interventions / procedures to be provided.</w:t>
      </w:r>
    </w:p>
    <w:p w14:paraId="1DC9D5CD" w14:textId="77777777" w:rsidR="00E10AF5" w:rsidRPr="00E10AF5" w:rsidRDefault="00E10AF5" w:rsidP="00E10AF5">
      <w:pPr>
        <w:spacing w:line="240" w:lineRule="auto"/>
        <w:ind w:left="425"/>
        <w:jc w:val="both"/>
        <w:rPr>
          <w:bCs/>
          <w:color w:val="auto"/>
        </w:rPr>
      </w:pPr>
    </w:p>
    <w:p w14:paraId="631BCD79" w14:textId="77777777" w:rsidR="00E10AF5" w:rsidRPr="00E10AF5" w:rsidRDefault="00E10AF5" w:rsidP="00E10AF5">
      <w:pPr>
        <w:spacing w:line="240" w:lineRule="auto"/>
        <w:ind w:left="425"/>
        <w:jc w:val="both"/>
        <w:rPr>
          <w:b/>
          <w:color w:val="auto"/>
        </w:rPr>
      </w:pPr>
      <w:r w:rsidRPr="00E10AF5">
        <w:rPr>
          <w:b/>
          <w:color w:val="auto"/>
        </w:rPr>
        <w:t>Funding policy / protocols</w:t>
      </w:r>
    </w:p>
    <w:p w14:paraId="3CA6770B" w14:textId="77777777" w:rsidR="00E10AF5" w:rsidRPr="00E10AF5" w:rsidRDefault="00E10AF5" w:rsidP="00E10AF5">
      <w:pPr>
        <w:spacing w:line="240" w:lineRule="auto"/>
        <w:ind w:left="425"/>
        <w:jc w:val="both"/>
        <w:rPr>
          <w:bCs/>
          <w:color w:val="auto"/>
        </w:rPr>
      </w:pPr>
      <w:r w:rsidRPr="00E10AF5">
        <w:rPr>
          <w:bCs/>
          <w:color w:val="auto"/>
        </w:rPr>
        <w:t>Documents which outline a set of criteria that must be met for a said treatment / procedure to be provided.</w:t>
      </w:r>
    </w:p>
    <w:p w14:paraId="5931C3E6" w14:textId="77777777" w:rsidR="00E10AF5" w:rsidRPr="00E10AF5" w:rsidRDefault="00E10AF5" w:rsidP="00E10AF5">
      <w:pPr>
        <w:spacing w:line="240" w:lineRule="auto"/>
        <w:ind w:left="425"/>
        <w:jc w:val="both"/>
        <w:rPr>
          <w:bCs/>
          <w:color w:val="auto"/>
        </w:rPr>
      </w:pPr>
    </w:p>
    <w:p w14:paraId="653545C3" w14:textId="77777777" w:rsidR="00E10AF5" w:rsidRPr="00E10AF5" w:rsidRDefault="00E10AF5" w:rsidP="00E10AF5">
      <w:pPr>
        <w:spacing w:line="240" w:lineRule="auto"/>
        <w:ind w:left="425"/>
        <w:jc w:val="both"/>
        <w:rPr>
          <w:b/>
          <w:color w:val="auto"/>
        </w:rPr>
      </w:pPr>
      <w:r w:rsidRPr="00E10AF5">
        <w:rPr>
          <w:b/>
          <w:color w:val="auto"/>
        </w:rPr>
        <w:t>Humber and North Yorkshire Integrated Care Board (ICB)</w:t>
      </w:r>
    </w:p>
    <w:p w14:paraId="47C249AB" w14:textId="77777777" w:rsidR="00E10AF5" w:rsidRPr="00E10AF5" w:rsidRDefault="00E10AF5" w:rsidP="00E10AF5">
      <w:pPr>
        <w:spacing w:line="240" w:lineRule="auto"/>
        <w:ind w:left="425"/>
        <w:jc w:val="both"/>
        <w:rPr>
          <w:bCs/>
          <w:color w:val="auto"/>
        </w:rPr>
      </w:pPr>
      <w:r w:rsidRPr="00E10AF5">
        <w:rPr>
          <w:bCs/>
          <w:color w:val="auto"/>
        </w:rPr>
        <w:t>Responsible for health and care services across the Humber and North Yorkshire geographical area.</w:t>
      </w:r>
    </w:p>
    <w:p w14:paraId="0390FA52" w14:textId="77777777" w:rsidR="00E10AF5" w:rsidRPr="00E10AF5" w:rsidRDefault="00E10AF5" w:rsidP="00E10AF5">
      <w:pPr>
        <w:spacing w:line="240" w:lineRule="auto"/>
        <w:ind w:left="425"/>
        <w:jc w:val="both"/>
        <w:rPr>
          <w:bCs/>
          <w:color w:val="auto"/>
        </w:rPr>
      </w:pPr>
    </w:p>
    <w:p w14:paraId="6BDFBD0E" w14:textId="77777777" w:rsidR="00E10AF5" w:rsidRPr="00E10AF5" w:rsidRDefault="00E10AF5" w:rsidP="00E10AF5">
      <w:pPr>
        <w:spacing w:line="240" w:lineRule="auto"/>
        <w:ind w:left="425"/>
        <w:jc w:val="both"/>
        <w:rPr>
          <w:b/>
          <w:color w:val="auto"/>
        </w:rPr>
      </w:pPr>
      <w:r w:rsidRPr="00E10AF5">
        <w:rPr>
          <w:b/>
          <w:color w:val="auto"/>
        </w:rPr>
        <w:t>ICB quality committee</w:t>
      </w:r>
    </w:p>
    <w:p w14:paraId="0164B4CE" w14:textId="77777777" w:rsidR="00E10AF5" w:rsidRPr="00E10AF5" w:rsidRDefault="00E10AF5" w:rsidP="00E10AF5">
      <w:pPr>
        <w:spacing w:line="240" w:lineRule="auto"/>
        <w:ind w:left="425"/>
        <w:jc w:val="both"/>
        <w:rPr>
          <w:bCs/>
          <w:color w:val="auto"/>
        </w:rPr>
      </w:pPr>
      <w:r w:rsidRPr="00E10AF5">
        <w:rPr>
          <w:bCs/>
          <w:color w:val="auto"/>
        </w:rPr>
        <w:t>The quality committee is a committee of the Humber and North Yorkshire Integrated Care Board.</w:t>
      </w:r>
    </w:p>
    <w:p w14:paraId="07F0D10C" w14:textId="77777777" w:rsidR="00E10AF5" w:rsidRPr="00E10AF5" w:rsidRDefault="00E10AF5" w:rsidP="000F73F5">
      <w:pPr>
        <w:spacing w:line="240" w:lineRule="auto"/>
        <w:jc w:val="both"/>
        <w:rPr>
          <w:bCs/>
          <w:color w:val="auto"/>
        </w:rPr>
      </w:pPr>
    </w:p>
    <w:p w14:paraId="3C9075E7" w14:textId="77777777" w:rsidR="00E10AF5" w:rsidRPr="00E10AF5" w:rsidRDefault="00E10AF5" w:rsidP="00E10AF5">
      <w:pPr>
        <w:spacing w:line="240" w:lineRule="auto"/>
        <w:ind w:left="425"/>
        <w:jc w:val="both"/>
        <w:rPr>
          <w:b/>
          <w:color w:val="auto"/>
        </w:rPr>
      </w:pPr>
      <w:r w:rsidRPr="00E10AF5">
        <w:rPr>
          <w:b/>
          <w:color w:val="auto"/>
        </w:rPr>
        <w:t>Individual funding requests system</w:t>
      </w:r>
    </w:p>
    <w:p w14:paraId="0D07EFC5" w14:textId="09286CDD" w:rsidR="00E10AF5" w:rsidRPr="00E10AF5" w:rsidRDefault="00E10AF5" w:rsidP="00E10AF5">
      <w:pPr>
        <w:spacing w:line="240" w:lineRule="auto"/>
        <w:ind w:left="425"/>
        <w:jc w:val="both"/>
        <w:rPr>
          <w:bCs/>
          <w:color w:val="auto"/>
        </w:rPr>
      </w:pPr>
      <w:r w:rsidRPr="00E10AF5">
        <w:rPr>
          <w:bCs/>
          <w:color w:val="auto"/>
        </w:rPr>
        <w:t>The system used by Humber and North Yorkshire ICB for the submission and processing of individual funding requests.</w:t>
      </w:r>
    </w:p>
    <w:p w14:paraId="04860BAC" w14:textId="77777777" w:rsidR="00E10AF5" w:rsidRPr="00E10AF5" w:rsidRDefault="00E10AF5" w:rsidP="00E10AF5">
      <w:pPr>
        <w:spacing w:line="240" w:lineRule="auto"/>
        <w:ind w:left="425"/>
        <w:jc w:val="both"/>
        <w:rPr>
          <w:bCs/>
          <w:color w:val="auto"/>
        </w:rPr>
      </w:pPr>
    </w:p>
    <w:p w14:paraId="257A7451" w14:textId="1A430FE0" w:rsidR="00E10AF5" w:rsidRPr="00E10AF5" w:rsidRDefault="00E10AF5" w:rsidP="00E10AF5">
      <w:pPr>
        <w:spacing w:line="240" w:lineRule="auto"/>
        <w:ind w:left="425"/>
        <w:jc w:val="both"/>
        <w:rPr>
          <w:b/>
          <w:color w:val="auto"/>
        </w:rPr>
      </w:pPr>
      <w:r w:rsidRPr="00E10AF5">
        <w:rPr>
          <w:b/>
          <w:color w:val="auto"/>
        </w:rPr>
        <w:t xml:space="preserve">Medicines </w:t>
      </w:r>
      <w:r w:rsidR="00DC0401">
        <w:rPr>
          <w:b/>
          <w:color w:val="auto"/>
        </w:rPr>
        <w:t>O</w:t>
      </w:r>
      <w:r w:rsidRPr="00E10AF5">
        <w:rPr>
          <w:b/>
          <w:color w:val="auto"/>
        </w:rPr>
        <w:t>ptimisation</w:t>
      </w:r>
    </w:p>
    <w:p w14:paraId="65CD0F0E" w14:textId="77777777" w:rsidR="00E10AF5" w:rsidRPr="00E10AF5" w:rsidRDefault="00E10AF5" w:rsidP="00E10AF5">
      <w:pPr>
        <w:spacing w:line="240" w:lineRule="auto"/>
        <w:ind w:left="425"/>
        <w:jc w:val="both"/>
        <w:rPr>
          <w:bCs/>
          <w:color w:val="auto"/>
        </w:rPr>
      </w:pPr>
      <w:r w:rsidRPr="00E10AF5">
        <w:rPr>
          <w:bCs/>
          <w:color w:val="auto"/>
        </w:rPr>
        <w:t>If required, the individual funding requests panel have timely access to specialist support from the ICB medicines optimisation team.</w:t>
      </w:r>
    </w:p>
    <w:p w14:paraId="2502648D" w14:textId="77777777" w:rsidR="00E10AF5" w:rsidRPr="00E10AF5" w:rsidRDefault="00E10AF5" w:rsidP="00F107E1">
      <w:pPr>
        <w:spacing w:line="240" w:lineRule="auto"/>
        <w:jc w:val="both"/>
        <w:rPr>
          <w:bCs/>
          <w:color w:val="auto"/>
        </w:rPr>
      </w:pPr>
    </w:p>
    <w:p w14:paraId="67D82EB1" w14:textId="77777777" w:rsidR="00E10AF5" w:rsidRPr="00E10AF5" w:rsidRDefault="00E10AF5" w:rsidP="00E10AF5">
      <w:pPr>
        <w:spacing w:line="240" w:lineRule="auto"/>
        <w:ind w:left="425"/>
        <w:jc w:val="both"/>
        <w:rPr>
          <w:b/>
          <w:color w:val="auto"/>
        </w:rPr>
      </w:pPr>
      <w:r w:rsidRPr="00E10AF5">
        <w:rPr>
          <w:b/>
          <w:color w:val="auto"/>
        </w:rPr>
        <w:t>Pre-screening</w:t>
      </w:r>
    </w:p>
    <w:p w14:paraId="6B84225A" w14:textId="77777777" w:rsidR="00E10AF5" w:rsidRPr="00E10AF5" w:rsidRDefault="00E10AF5" w:rsidP="00E10AF5">
      <w:pPr>
        <w:spacing w:line="240" w:lineRule="auto"/>
        <w:ind w:left="425"/>
        <w:jc w:val="both"/>
        <w:rPr>
          <w:bCs/>
          <w:color w:val="auto"/>
        </w:rPr>
      </w:pPr>
      <w:r w:rsidRPr="00E10AF5">
        <w:rPr>
          <w:bCs/>
          <w:color w:val="auto"/>
        </w:rPr>
        <w:t>Once an individual funding request has been submitted, the individual funding requests administration team will review and pre-screen the detail of the request and assess whether the application is deemed appropriate for individual funding requests and complete.</w:t>
      </w:r>
    </w:p>
    <w:p w14:paraId="69426920" w14:textId="77777777" w:rsidR="00E10AF5" w:rsidRPr="00E10AF5" w:rsidRDefault="00E10AF5" w:rsidP="001E5A7A">
      <w:pPr>
        <w:spacing w:line="240" w:lineRule="auto"/>
        <w:jc w:val="both"/>
        <w:rPr>
          <w:bCs/>
          <w:color w:val="auto"/>
        </w:rPr>
      </w:pPr>
    </w:p>
    <w:p w14:paraId="33C7CE49" w14:textId="77777777" w:rsidR="00E10AF5" w:rsidRPr="00E10AF5" w:rsidRDefault="00E10AF5" w:rsidP="00E10AF5">
      <w:pPr>
        <w:spacing w:line="240" w:lineRule="auto"/>
        <w:ind w:left="425"/>
        <w:jc w:val="both"/>
        <w:rPr>
          <w:b/>
          <w:color w:val="auto"/>
        </w:rPr>
      </w:pPr>
      <w:r w:rsidRPr="00E10AF5">
        <w:rPr>
          <w:b/>
          <w:color w:val="auto"/>
        </w:rPr>
        <w:t>Provider</w:t>
      </w:r>
    </w:p>
    <w:p w14:paraId="1341A24F" w14:textId="77777777" w:rsidR="00E10AF5" w:rsidRPr="00E10AF5" w:rsidRDefault="00E10AF5" w:rsidP="00E10AF5">
      <w:pPr>
        <w:spacing w:line="240" w:lineRule="auto"/>
        <w:ind w:left="425"/>
        <w:jc w:val="both"/>
        <w:rPr>
          <w:bCs/>
          <w:color w:val="auto"/>
        </w:rPr>
      </w:pPr>
      <w:r w:rsidRPr="00E10AF5">
        <w:rPr>
          <w:bCs/>
          <w:color w:val="auto"/>
        </w:rPr>
        <w:t>The healthcare service provider which will or is proposing to undertake the said treatment / procedure.</w:t>
      </w:r>
    </w:p>
    <w:p w14:paraId="57FC77BB" w14:textId="77777777" w:rsidR="00E10AF5" w:rsidRPr="00E10AF5" w:rsidRDefault="00E10AF5" w:rsidP="00E10AF5">
      <w:pPr>
        <w:spacing w:line="240" w:lineRule="auto"/>
        <w:ind w:left="425"/>
        <w:jc w:val="both"/>
        <w:rPr>
          <w:b/>
          <w:color w:val="auto"/>
        </w:rPr>
      </w:pPr>
    </w:p>
    <w:p w14:paraId="0B8A2245" w14:textId="77777777" w:rsidR="00E10AF5" w:rsidRPr="00E10AF5" w:rsidRDefault="00E10AF5" w:rsidP="00E10AF5">
      <w:pPr>
        <w:spacing w:line="240" w:lineRule="auto"/>
        <w:ind w:left="425"/>
        <w:jc w:val="both"/>
        <w:rPr>
          <w:b/>
          <w:color w:val="auto"/>
        </w:rPr>
      </w:pPr>
      <w:r w:rsidRPr="00E10AF5">
        <w:rPr>
          <w:b/>
          <w:color w:val="auto"/>
        </w:rPr>
        <w:t>Reconsideration</w:t>
      </w:r>
    </w:p>
    <w:p w14:paraId="4D5162AB" w14:textId="77777777" w:rsidR="00E10AF5" w:rsidRPr="00E10AF5" w:rsidRDefault="00E10AF5" w:rsidP="00E10AF5">
      <w:pPr>
        <w:spacing w:line="240" w:lineRule="auto"/>
        <w:ind w:left="425"/>
        <w:jc w:val="both"/>
        <w:rPr>
          <w:bCs/>
          <w:color w:val="auto"/>
        </w:rPr>
      </w:pPr>
      <w:r w:rsidRPr="00E10AF5">
        <w:rPr>
          <w:bCs/>
          <w:color w:val="auto"/>
        </w:rPr>
        <w:t>Where an application for funding has been declined, the referring clinician has the opportunity to present new clinical information in support of the application being considered.</w:t>
      </w:r>
    </w:p>
    <w:p w14:paraId="46431D67" w14:textId="77777777" w:rsidR="00E10AF5" w:rsidRPr="00E10AF5" w:rsidRDefault="00E10AF5" w:rsidP="00E10AF5">
      <w:pPr>
        <w:spacing w:line="240" w:lineRule="auto"/>
        <w:ind w:left="425"/>
        <w:jc w:val="both"/>
        <w:rPr>
          <w:bCs/>
          <w:color w:val="auto"/>
        </w:rPr>
      </w:pPr>
    </w:p>
    <w:p w14:paraId="17CBC5BF" w14:textId="77777777" w:rsidR="00E10AF5" w:rsidRPr="00E10AF5" w:rsidRDefault="00E10AF5" w:rsidP="00E10AF5">
      <w:pPr>
        <w:spacing w:line="240" w:lineRule="auto"/>
        <w:ind w:left="425"/>
        <w:jc w:val="both"/>
        <w:rPr>
          <w:b/>
          <w:color w:val="auto"/>
        </w:rPr>
      </w:pPr>
      <w:r w:rsidRPr="00E10AF5">
        <w:rPr>
          <w:b/>
          <w:color w:val="auto"/>
        </w:rPr>
        <w:t>Referring clinician / healthcare professional</w:t>
      </w:r>
    </w:p>
    <w:p w14:paraId="7F6DF53E" w14:textId="16F3B4B3" w:rsidR="00E10AF5" w:rsidRPr="00E10AF5" w:rsidRDefault="00E10AF5" w:rsidP="00E10AF5">
      <w:pPr>
        <w:spacing w:line="240" w:lineRule="auto"/>
        <w:ind w:left="425"/>
        <w:jc w:val="both"/>
        <w:rPr>
          <w:bCs/>
          <w:color w:val="auto"/>
        </w:rPr>
      </w:pPr>
      <w:r w:rsidRPr="00E10AF5">
        <w:rPr>
          <w:bCs/>
          <w:color w:val="auto"/>
        </w:rPr>
        <w:t xml:space="preserve">The clinician making the request for the treatment / procedure in question on behalf of the patient. This can be the patient’s GP, a professionally qualified healthcare practitioner or </w:t>
      </w:r>
      <w:r w:rsidR="003933F9">
        <w:rPr>
          <w:bCs/>
          <w:color w:val="auto"/>
        </w:rPr>
        <w:t>a</w:t>
      </w:r>
      <w:r w:rsidRPr="00E10AF5">
        <w:rPr>
          <w:bCs/>
          <w:color w:val="auto"/>
        </w:rPr>
        <w:t xml:space="preserve"> secondary care clinician </w:t>
      </w:r>
      <w:r w:rsidR="00224F9C">
        <w:rPr>
          <w:bCs/>
          <w:color w:val="auto"/>
        </w:rPr>
        <w:t>but should be the clinician recommending</w:t>
      </w:r>
      <w:r w:rsidRPr="00E10AF5">
        <w:rPr>
          <w:bCs/>
          <w:color w:val="auto"/>
        </w:rPr>
        <w:t xml:space="preserve"> the said treatment / procedure.</w:t>
      </w:r>
    </w:p>
    <w:p w14:paraId="386648F4" w14:textId="77777777" w:rsidR="00E10AF5" w:rsidRPr="00E10AF5" w:rsidRDefault="00E10AF5" w:rsidP="00E10AF5">
      <w:pPr>
        <w:spacing w:line="240" w:lineRule="auto"/>
        <w:ind w:left="425"/>
        <w:jc w:val="both"/>
        <w:rPr>
          <w:bCs/>
          <w:color w:val="auto"/>
        </w:rPr>
      </w:pPr>
    </w:p>
    <w:p w14:paraId="4709952D" w14:textId="77777777" w:rsidR="00E10AF5" w:rsidRPr="00E10AF5" w:rsidRDefault="00E10AF5" w:rsidP="00E10AF5">
      <w:pPr>
        <w:spacing w:line="240" w:lineRule="auto"/>
        <w:ind w:left="425"/>
        <w:jc w:val="both"/>
        <w:rPr>
          <w:b/>
          <w:color w:val="auto"/>
        </w:rPr>
      </w:pPr>
      <w:r w:rsidRPr="00E10AF5">
        <w:rPr>
          <w:b/>
          <w:color w:val="auto"/>
        </w:rPr>
        <w:t>Standard request</w:t>
      </w:r>
    </w:p>
    <w:p w14:paraId="55ACC5B3" w14:textId="77777777" w:rsidR="00E10AF5" w:rsidRPr="00E10AF5" w:rsidRDefault="00E10AF5" w:rsidP="00E10AF5">
      <w:pPr>
        <w:spacing w:line="240" w:lineRule="auto"/>
        <w:ind w:left="425"/>
        <w:jc w:val="both"/>
        <w:rPr>
          <w:bCs/>
          <w:color w:val="auto"/>
        </w:rPr>
      </w:pPr>
      <w:r w:rsidRPr="00E10AF5">
        <w:rPr>
          <w:bCs/>
          <w:color w:val="auto"/>
        </w:rPr>
        <w:t>A standard funding request is a request for a non-urgent clinical intervention, for which a decision can be provided, usually within 40 working days of receipt of the request, where all relevant information required is available.</w:t>
      </w:r>
    </w:p>
    <w:p w14:paraId="60294283" w14:textId="77777777" w:rsidR="00E10AF5" w:rsidRPr="00E10AF5" w:rsidRDefault="00E10AF5" w:rsidP="00E10AF5">
      <w:pPr>
        <w:spacing w:line="240" w:lineRule="auto"/>
        <w:ind w:left="425"/>
        <w:jc w:val="both"/>
        <w:rPr>
          <w:bCs/>
          <w:color w:val="auto"/>
        </w:rPr>
      </w:pPr>
    </w:p>
    <w:p w14:paraId="29E9774E" w14:textId="77777777" w:rsidR="00E10AF5" w:rsidRPr="00E10AF5" w:rsidRDefault="00E10AF5" w:rsidP="00E10AF5">
      <w:pPr>
        <w:spacing w:line="240" w:lineRule="auto"/>
        <w:ind w:left="425"/>
        <w:jc w:val="both"/>
        <w:rPr>
          <w:b/>
          <w:color w:val="auto"/>
        </w:rPr>
      </w:pPr>
      <w:r w:rsidRPr="00E10AF5">
        <w:rPr>
          <w:b/>
          <w:color w:val="auto"/>
        </w:rPr>
        <w:t>Urgent request</w:t>
      </w:r>
    </w:p>
    <w:p w14:paraId="7C92AB65" w14:textId="77777777" w:rsidR="00E10AF5" w:rsidRPr="00E10AF5" w:rsidRDefault="00E10AF5" w:rsidP="00E10AF5">
      <w:pPr>
        <w:spacing w:line="240" w:lineRule="auto"/>
        <w:ind w:left="425"/>
        <w:jc w:val="both"/>
        <w:rPr>
          <w:bCs/>
          <w:color w:val="auto"/>
        </w:rPr>
      </w:pPr>
      <w:r w:rsidRPr="00E10AF5">
        <w:rPr>
          <w:bCs/>
          <w:color w:val="auto"/>
        </w:rPr>
        <w:t>From time to time, the clinical circumstances of on individual funding request may mean that delaying a decision until the next scheduled meeting of the panel is likely to have a significant detrimental effect on the patient’s health and wellbeing (threat of death or serious disability) or adversely affect eligibility for that treatment. In these circumstances the request will be deemed as urgent. Urgent requests will be considered in line with the NHS standard contract – SC 29.27.</w:t>
      </w:r>
    </w:p>
    <w:p w14:paraId="1A09C64A" w14:textId="21C64D83" w:rsidR="002C792A" w:rsidRDefault="00E10AF5" w:rsidP="00E10AF5">
      <w:pPr>
        <w:spacing w:line="240" w:lineRule="auto"/>
        <w:jc w:val="both"/>
        <w:rPr>
          <w:b/>
          <w:color w:val="auto"/>
        </w:rPr>
      </w:pPr>
      <w:r w:rsidRPr="00E10AF5">
        <w:rPr>
          <w:b/>
          <w:color w:val="auto"/>
        </w:rPr>
        <w:t> </w:t>
      </w:r>
    </w:p>
    <w:p w14:paraId="308A5B33" w14:textId="77777777" w:rsidR="00710480" w:rsidRDefault="00710480" w:rsidP="00E10AF5">
      <w:pPr>
        <w:autoSpaceDE w:val="0"/>
        <w:autoSpaceDN w:val="0"/>
        <w:spacing w:line="240" w:lineRule="auto"/>
        <w:ind w:left="720"/>
        <w:jc w:val="both"/>
        <w:rPr>
          <w:rFonts w:eastAsia="Calibri"/>
          <w:color w:val="auto"/>
          <w:sz w:val="22"/>
          <w:szCs w:val="22"/>
        </w:rPr>
      </w:pPr>
    </w:p>
    <w:p w14:paraId="324DDFF3" w14:textId="77777777" w:rsidR="009F2C13" w:rsidRPr="0032084D" w:rsidRDefault="009F2C13" w:rsidP="00E10AF5">
      <w:pPr>
        <w:autoSpaceDE w:val="0"/>
        <w:autoSpaceDN w:val="0"/>
        <w:spacing w:line="240" w:lineRule="auto"/>
        <w:ind w:left="720"/>
        <w:jc w:val="both"/>
        <w:rPr>
          <w:rFonts w:eastAsia="Calibri"/>
          <w:color w:val="FF0000"/>
        </w:rPr>
      </w:pPr>
    </w:p>
    <w:p w14:paraId="6121A8EF" w14:textId="77777777" w:rsidR="00710480" w:rsidRPr="008F16A6" w:rsidRDefault="00710480" w:rsidP="008F16A6">
      <w:pPr>
        <w:spacing w:line="240" w:lineRule="auto"/>
        <w:rPr>
          <w:b/>
        </w:rPr>
      </w:pPr>
    </w:p>
    <w:p w14:paraId="3833776B" w14:textId="77777777" w:rsidR="00F654F0" w:rsidRDefault="00F654F0" w:rsidP="00316E2C"/>
    <w:sectPr w:rsidR="00F654F0" w:rsidSect="004F3CD4">
      <w:footerReference w:type="default" r:id="rId19"/>
      <w:headerReference w:type="first" r:id="rId20"/>
      <w:footerReference w:type="first" r:id="rId2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CBB80" w14:textId="77777777" w:rsidR="004756CA" w:rsidRDefault="004756CA">
      <w:r>
        <w:separator/>
      </w:r>
    </w:p>
  </w:endnote>
  <w:endnote w:type="continuationSeparator" w:id="0">
    <w:p w14:paraId="1B0AE2E6" w14:textId="77777777" w:rsidR="004756CA" w:rsidRDefault="004756CA">
      <w:r>
        <w:continuationSeparator/>
      </w:r>
    </w:p>
  </w:endnote>
  <w:endnote w:type="continuationNotice" w:id="1">
    <w:p w14:paraId="5E3FF258" w14:textId="77777777" w:rsidR="004756CA" w:rsidRDefault="004756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3081" w14:textId="4983DAF1" w:rsidR="00AE286E" w:rsidRPr="00DD014E" w:rsidRDefault="00AE286E" w:rsidP="00D82D0F">
    <w:pPr>
      <w:pStyle w:val="Footer"/>
      <w:spacing w:before="120"/>
      <w:rPr>
        <w:color w:val="auto"/>
        <w:sz w:val="18"/>
        <w:szCs w:val="18"/>
        <w:lang w:val="en-GB"/>
      </w:rPr>
    </w:pPr>
    <w:r w:rsidRPr="00DD014E">
      <w:rPr>
        <w:noProof/>
        <w:color w:val="auto"/>
        <w:sz w:val="18"/>
        <w:szCs w:val="18"/>
        <w:lang w:val="en-GB" w:eastAsia="en-GB"/>
      </w:rPr>
      <mc:AlternateContent>
        <mc:Choice Requires="wps">
          <w:drawing>
            <wp:anchor distT="0" distB="0" distL="114300" distR="114300" simplePos="0" relativeHeight="251658240" behindDoc="0" locked="0" layoutInCell="1" allowOverlap="1" wp14:anchorId="4F367EEE" wp14:editId="78B04CE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893AE13" w14:textId="77777777" w:rsidR="00AE286E" w:rsidRPr="004D7F55" w:rsidRDefault="00AE286E" w:rsidP="00D82D0F">
                          <w:pPr>
                            <w:pStyle w:val="Footer"/>
                            <w:jc w:val="right"/>
                            <w:rPr>
                              <w:color w:val="4F6228" w:themeColor="accent3" w:themeShade="80"/>
                            </w:rPr>
                          </w:pPr>
                          <w:r w:rsidRPr="004D7F55">
                            <w:rPr>
                              <w:color w:val="4F6228" w:themeColor="accent3" w:themeShade="80"/>
                            </w:rPr>
                            <w:fldChar w:fldCharType="begin"/>
                          </w:r>
                          <w:r w:rsidRPr="004D7F55">
                            <w:rPr>
                              <w:color w:val="4F6228" w:themeColor="accent3" w:themeShade="80"/>
                            </w:rPr>
                            <w:instrText xml:space="preserve"> PAGE  \* Arabic  \* MERGEFORMAT </w:instrText>
                          </w:r>
                          <w:r w:rsidRPr="004D7F55">
                            <w:rPr>
                              <w:color w:val="4F6228" w:themeColor="accent3" w:themeShade="80"/>
                            </w:rPr>
                            <w:fldChar w:fldCharType="separate"/>
                          </w:r>
                          <w:r w:rsidR="00B969EF">
                            <w:rPr>
                              <w:noProof/>
                              <w:color w:val="4F6228" w:themeColor="accent3" w:themeShade="80"/>
                            </w:rPr>
                            <w:t>2</w:t>
                          </w:r>
                          <w:r w:rsidRPr="004D7F55">
                            <w:rPr>
                              <w:color w:val="4F6228" w:themeColor="accent3" w:themeShade="8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F367EEE" id="_x0000_t202" coordsize="21600,21600" o:spt="202" path="m,l,21600r21600,l21600,xe">
              <v:stroke joinstyle="miter"/>
              <v:path gradientshapeok="t" o:connecttype="rect"/>
            </v:shapetype>
            <v:shape id="Text Box 56" o:spid="_x0000_s1026" type="#_x0000_t202" style="position:absolute;margin-left:67.6pt;margin-top:0;width:118.8pt;height:31.15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3893AE13" w14:textId="77777777" w:rsidR="00AE286E" w:rsidRPr="004D7F55" w:rsidRDefault="00AE286E" w:rsidP="00D82D0F">
                    <w:pPr>
                      <w:pStyle w:val="Footer"/>
                      <w:jc w:val="right"/>
                      <w:rPr>
                        <w:color w:val="4F6228" w:themeColor="accent3" w:themeShade="80"/>
                      </w:rPr>
                    </w:pPr>
                    <w:r w:rsidRPr="004D7F55">
                      <w:rPr>
                        <w:color w:val="4F6228" w:themeColor="accent3" w:themeShade="80"/>
                      </w:rPr>
                      <w:fldChar w:fldCharType="begin"/>
                    </w:r>
                    <w:r w:rsidRPr="004D7F55">
                      <w:rPr>
                        <w:color w:val="4F6228" w:themeColor="accent3" w:themeShade="80"/>
                      </w:rPr>
                      <w:instrText xml:space="preserve"> PAGE  \* Arabic  \* MERGEFORMAT </w:instrText>
                    </w:r>
                    <w:r w:rsidRPr="004D7F55">
                      <w:rPr>
                        <w:color w:val="4F6228" w:themeColor="accent3" w:themeShade="80"/>
                      </w:rPr>
                      <w:fldChar w:fldCharType="separate"/>
                    </w:r>
                    <w:r w:rsidR="00B969EF">
                      <w:rPr>
                        <w:noProof/>
                        <w:color w:val="4F6228" w:themeColor="accent3" w:themeShade="80"/>
                      </w:rPr>
                      <w:t>2</w:t>
                    </w:r>
                    <w:r w:rsidRPr="004D7F55">
                      <w:rPr>
                        <w:color w:val="4F6228" w:themeColor="accent3" w:themeShade="80"/>
                      </w:rPr>
                      <w:fldChar w:fldCharType="end"/>
                    </w:r>
                  </w:p>
                </w:txbxContent>
              </v:textbox>
              <w10:wrap anchorx="margin" anchory="margin"/>
            </v:shape>
          </w:pict>
        </mc:Fallback>
      </mc:AlternateContent>
    </w:r>
    <w:r w:rsidR="00151C18">
      <w:rPr>
        <w:color w:val="auto"/>
        <w:sz w:val="18"/>
        <w:szCs w:val="18"/>
        <w:lang w:val="en-GB"/>
      </w:rPr>
      <w:t xml:space="preserve">Individual Funding Request Policy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116A" w14:textId="77777777" w:rsidR="00AE286E" w:rsidRDefault="00AE286E" w:rsidP="0043516E">
    <w:pPr>
      <w:pStyle w:val="Footer"/>
      <w:tabs>
        <w:tab w:val="clear" w:pos="4153"/>
        <w:tab w:val="clear" w:pos="8306"/>
        <w:tab w:val="left" w:pos="679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7267" w14:textId="77777777" w:rsidR="004756CA" w:rsidRDefault="004756CA">
      <w:r>
        <w:separator/>
      </w:r>
    </w:p>
  </w:footnote>
  <w:footnote w:type="continuationSeparator" w:id="0">
    <w:p w14:paraId="183FA6DE" w14:textId="77777777" w:rsidR="004756CA" w:rsidRDefault="004756CA">
      <w:r>
        <w:continuationSeparator/>
      </w:r>
    </w:p>
  </w:footnote>
  <w:footnote w:type="continuationNotice" w:id="1">
    <w:p w14:paraId="31D68BDF" w14:textId="77777777" w:rsidR="004756CA" w:rsidRDefault="004756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320B" w14:textId="77777777" w:rsidR="00AE286E" w:rsidRDefault="00AE286E" w:rsidP="004F3C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96451"/>
    <w:multiLevelType w:val="multilevel"/>
    <w:tmpl w:val="A798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335F56"/>
    <w:multiLevelType w:val="hybridMultilevel"/>
    <w:tmpl w:val="3F724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A7C76"/>
    <w:multiLevelType w:val="hybridMultilevel"/>
    <w:tmpl w:val="0FD0F5C6"/>
    <w:lvl w:ilvl="0" w:tplc="94003DDA">
      <w:start w:val="1"/>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 w15:restartNumberingAfterBreak="0">
    <w:nsid w:val="1B9553DF"/>
    <w:multiLevelType w:val="multilevel"/>
    <w:tmpl w:val="96D0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C78"/>
    <w:multiLevelType w:val="hybridMultilevel"/>
    <w:tmpl w:val="0860975E"/>
    <w:lvl w:ilvl="0" w:tplc="0809001B">
      <w:start w:val="1"/>
      <w:numFmt w:val="lowerRoman"/>
      <w:lvlText w:val="%1."/>
      <w:lvlJc w:val="right"/>
      <w:pPr>
        <w:ind w:left="1576" w:hanging="360"/>
      </w:pPr>
    </w:lvl>
    <w:lvl w:ilvl="1" w:tplc="08090019" w:tentative="1">
      <w:start w:val="1"/>
      <w:numFmt w:val="lowerLetter"/>
      <w:lvlText w:val="%2."/>
      <w:lvlJc w:val="left"/>
      <w:pPr>
        <w:ind w:left="2296" w:hanging="360"/>
      </w:pPr>
    </w:lvl>
    <w:lvl w:ilvl="2" w:tplc="0809001B" w:tentative="1">
      <w:start w:val="1"/>
      <w:numFmt w:val="lowerRoman"/>
      <w:lvlText w:val="%3."/>
      <w:lvlJc w:val="right"/>
      <w:pPr>
        <w:ind w:left="3016" w:hanging="180"/>
      </w:pPr>
    </w:lvl>
    <w:lvl w:ilvl="3" w:tplc="0809000F" w:tentative="1">
      <w:start w:val="1"/>
      <w:numFmt w:val="decimal"/>
      <w:lvlText w:val="%4."/>
      <w:lvlJc w:val="left"/>
      <w:pPr>
        <w:ind w:left="3736" w:hanging="360"/>
      </w:pPr>
    </w:lvl>
    <w:lvl w:ilvl="4" w:tplc="08090019" w:tentative="1">
      <w:start w:val="1"/>
      <w:numFmt w:val="lowerLetter"/>
      <w:lvlText w:val="%5."/>
      <w:lvlJc w:val="left"/>
      <w:pPr>
        <w:ind w:left="4456" w:hanging="360"/>
      </w:pPr>
    </w:lvl>
    <w:lvl w:ilvl="5" w:tplc="0809001B" w:tentative="1">
      <w:start w:val="1"/>
      <w:numFmt w:val="lowerRoman"/>
      <w:lvlText w:val="%6."/>
      <w:lvlJc w:val="right"/>
      <w:pPr>
        <w:ind w:left="5176" w:hanging="180"/>
      </w:pPr>
    </w:lvl>
    <w:lvl w:ilvl="6" w:tplc="0809000F" w:tentative="1">
      <w:start w:val="1"/>
      <w:numFmt w:val="decimal"/>
      <w:lvlText w:val="%7."/>
      <w:lvlJc w:val="left"/>
      <w:pPr>
        <w:ind w:left="5896" w:hanging="360"/>
      </w:pPr>
    </w:lvl>
    <w:lvl w:ilvl="7" w:tplc="08090019" w:tentative="1">
      <w:start w:val="1"/>
      <w:numFmt w:val="lowerLetter"/>
      <w:lvlText w:val="%8."/>
      <w:lvlJc w:val="left"/>
      <w:pPr>
        <w:ind w:left="6616" w:hanging="360"/>
      </w:pPr>
    </w:lvl>
    <w:lvl w:ilvl="8" w:tplc="0809001B" w:tentative="1">
      <w:start w:val="1"/>
      <w:numFmt w:val="lowerRoman"/>
      <w:lvlText w:val="%9."/>
      <w:lvlJc w:val="right"/>
      <w:pPr>
        <w:ind w:left="7336" w:hanging="180"/>
      </w:pPr>
    </w:lvl>
  </w:abstractNum>
  <w:abstractNum w:abstractNumId="5" w15:restartNumberingAfterBreak="0">
    <w:nsid w:val="20EE04F8"/>
    <w:multiLevelType w:val="hybridMultilevel"/>
    <w:tmpl w:val="B33A4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F30616"/>
    <w:multiLevelType w:val="hybridMultilevel"/>
    <w:tmpl w:val="03504C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09F015D"/>
    <w:multiLevelType w:val="hybridMultilevel"/>
    <w:tmpl w:val="0F3CCD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12F0A43"/>
    <w:multiLevelType w:val="hybridMultilevel"/>
    <w:tmpl w:val="D2BE6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F7D50B4"/>
    <w:multiLevelType w:val="hybridMultilevel"/>
    <w:tmpl w:val="677C6A80"/>
    <w:lvl w:ilvl="0" w:tplc="C5D400C2">
      <w:start w:val="1"/>
      <w:numFmt w:val="bullet"/>
      <w:pStyle w:val="PointsBullets"/>
      <w:lvlText w:val=""/>
      <w:lvlJc w:val="left"/>
      <w:pPr>
        <w:tabs>
          <w:tab w:val="num" w:pos="567"/>
        </w:tabs>
        <w:ind w:left="567" w:hanging="567"/>
      </w:pPr>
      <w:rPr>
        <w:rFonts w:ascii="Wingdings" w:hAnsi="Wingdings" w:hint="default"/>
        <w:color w:val="auto"/>
      </w:rPr>
    </w:lvl>
    <w:lvl w:ilvl="1" w:tplc="04090003" w:tentative="1">
      <w:start w:val="1"/>
      <w:numFmt w:val="bullet"/>
      <w:lvlText w:val="o"/>
      <w:lvlJc w:val="left"/>
      <w:pPr>
        <w:tabs>
          <w:tab w:val="num" w:pos="306"/>
        </w:tabs>
        <w:ind w:left="306" w:hanging="360"/>
      </w:pPr>
      <w:rPr>
        <w:rFonts w:ascii="Courier New" w:hAnsi="Courier New" w:cs="Courier New" w:hint="default"/>
      </w:rPr>
    </w:lvl>
    <w:lvl w:ilvl="2" w:tplc="04090005" w:tentative="1">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cs="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cs="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10" w15:restartNumberingAfterBreak="0">
    <w:nsid w:val="40E37AAF"/>
    <w:multiLevelType w:val="hybridMultilevel"/>
    <w:tmpl w:val="B3C4D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072342"/>
    <w:multiLevelType w:val="hybridMultilevel"/>
    <w:tmpl w:val="5F8285E6"/>
    <w:lvl w:ilvl="0" w:tplc="08090001">
      <w:start w:val="1"/>
      <w:numFmt w:val="bullet"/>
      <w:lvlText w:val=""/>
      <w:lvlJc w:val="left"/>
      <w:pPr>
        <w:ind w:left="1576" w:hanging="360"/>
      </w:pPr>
      <w:rPr>
        <w:rFonts w:ascii="Symbol" w:hAnsi="Symbol" w:hint="default"/>
      </w:rPr>
    </w:lvl>
    <w:lvl w:ilvl="1" w:tplc="08090003" w:tentative="1">
      <w:start w:val="1"/>
      <w:numFmt w:val="bullet"/>
      <w:lvlText w:val="o"/>
      <w:lvlJc w:val="left"/>
      <w:pPr>
        <w:ind w:left="2296" w:hanging="360"/>
      </w:pPr>
      <w:rPr>
        <w:rFonts w:ascii="Courier New" w:hAnsi="Courier New" w:cs="Courier New" w:hint="default"/>
      </w:rPr>
    </w:lvl>
    <w:lvl w:ilvl="2" w:tplc="08090005" w:tentative="1">
      <w:start w:val="1"/>
      <w:numFmt w:val="bullet"/>
      <w:lvlText w:val=""/>
      <w:lvlJc w:val="left"/>
      <w:pPr>
        <w:ind w:left="3016" w:hanging="360"/>
      </w:pPr>
      <w:rPr>
        <w:rFonts w:ascii="Wingdings" w:hAnsi="Wingdings" w:hint="default"/>
      </w:rPr>
    </w:lvl>
    <w:lvl w:ilvl="3" w:tplc="08090001" w:tentative="1">
      <w:start w:val="1"/>
      <w:numFmt w:val="bullet"/>
      <w:lvlText w:val=""/>
      <w:lvlJc w:val="left"/>
      <w:pPr>
        <w:ind w:left="3736" w:hanging="360"/>
      </w:pPr>
      <w:rPr>
        <w:rFonts w:ascii="Symbol" w:hAnsi="Symbol" w:hint="default"/>
      </w:rPr>
    </w:lvl>
    <w:lvl w:ilvl="4" w:tplc="08090003" w:tentative="1">
      <w:start w:val="1"/>
      <w:numFmt w:val="bullet"/>
      <w:lvlText w:val="o"/>
      <w:lvlJc w:val="left"/>
      <w:pPr>
        <w:ind w:left="4456" w:hanging="360"/>
      </w:pPr>
      <w:rPr>
        <w:rFonts w:ascii="Courier New" w:hAnsi="Courier New" w:cs="Courier New" w:hint="default"/>
      </w:rPr>
    </w:lvl>
    <w:lvl w:ilvl="5" w:tplc="08090005" w:tentative="1">
      <w:start w:val="1"/>
      <w:numFmt w:val="bullet"/>
      <w:lvlText w:val=""/>
      <w:lvlJc w:val="left"/>
      <w:pPr>
        <w:ind w:left="5176" w:hanging="360"/>
      </w:pPr>
      <w:rPr>
        <w:rFonts w:ascii="Wingdings" w:hAnsi="Wingdings" w:hint="default"/>
      </w:rPr>
    </w:lvl>
    <w:lvl w:ilvl="6" w:tplc="08090001" w:tentative="1">
      <w:start w:val="1"/>
      <w:numFmt w:val="bullet"/>
      <w:lvlText w:val=""/>
      <w:lvlJc w:val="left"/>
      <w:pPr>
        <w:ind w:left="5896" w:hanging="360"/>
      </w:pPr>
      <w:rPr>
        <w:rFonts w:ascii="Symbol" w:hAnsi="Symbol" w:hint="default"/>
      </w:rPr>
    </w:lvl>
    <w:lvl w:ilvl="7" w:tplc="08090003" w:tentative="1">
      <w:start w:val="1"/>
      <w:numFmt w:val="bullet"/>
      <w:lvlText w:val="o"/>
      <w:lvlJc w:val="left"/>
      <w:pPr>
        <w:ind w:left="6616" w:hanging="360"/>
      </w:pPr>
      <w:rPr>
        <w:rFonts w:ascii="Courier New" w:hAnsi="Courier New" w:cs="Courier New" w:hint="default"/>
      </w:rPr>
    </w:lvl>
    <w:lvl w:ilvl="8" w:tplc="08090005" w:tentative="1">
      <w:start w:val="1"/>
      <w:numFmt w:val="bullet"/>
      <w:lvlText w:val=""/>
      <w:lvlJc w:val="left"/>
      <w:pPr>
        <w:ind w:left="7336" w:hanging="360"/>
      </w:pPr>
      <w:rPr>
        <w:rFonts w:ascii="Wingdings" w:hAnsi="Wingdings" w:hint="default"/>
      </w:rPr>
    </w:lvl>
  </w:abstractNum>
  <w:abstractNum w:abstractNumId="12" w15:restartNumberingAfterBreak="0">
    <w:nsid w:val="4EB71230"/>
    <w:multiLevelType w:val="hybridMultilevel"/>
    <w:tmpl w:val="E6BAFBA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3" w15:restartNumberingAfterBreak="0">
    <w:nsid w:val="622201B6"/>
    <w:multiLevelType w:val="hybridMultilevel"/>
    <w:tmpl w:val="83083C2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4" w15:restartNumberingAfterBreak="0">
    <w:nsid w:val="686D6DA4"/>
    <w:multiLevelType w:val="multilevel"/>
    <w:tmpl w:val="2BACAE38"/>
    <w:lvl w:ilvl="0">
      <w:start w:val="1"/>
      <w:numFmt w:val="decimal"/>
      <w:pStyle w:val="Heading1"/>
      <w:lvlText w:val="%1"/>
      <w:lvlJc w:val="left"/>
      <w:pPr>
        <w:ind w:left="858" w:hanging="432"/>
      </w:pPr>
      <w:rPr>
        <w:b/>
        <w:bCs/>
        <w:i w:val="0"/>
        <w:iCs w:val="0"/>
        <w:caps w:val="0"/>
        <w:smallCaps w:val="0"/>
        <w:strike w:val="0"/>
        <w:dstrike w:val="0"/>
        <w:noProof w:val="0"/>
        <w:vanish w:val="0"/>
        <w:color w:val="000000"/>
        <w:spacing w:val="0"/>
        <w:kern w:val="0"/>
        <w:position w:val="0"/>
        <w:sz w:val="24"/>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color w:val="auto"/>
      </w:rPr>
    </w:lvl>
    <w:lvl w:ilvl="2">
      <w:start w:val="1"/>
      <w:numFmt w:val="decimal"/>
      <w:pStyle w:val="Heading3"/>
      <w:lvlText w:val="%1.%2.%3"/>
      <w:lvlJc w:val="left"/>
      <w:pPr>
        <w:ind w:left="578" w:hanging="720"/>
      </w:pPr>
    </w:lvl>
    <w:lvl w:ilvl="3">
      <w:start w:val="1"/>
      <w:numFmt w:val="decimal"/>
      <w:pStyle w:val="Heading4"/>
      <w:lvlText w:val="%1.%2.%3.%4"/>
      <w:lvlJc w:val="left"/>
      <w:pPr>
        <w:ind w:left="722" w:hanging="864"/>
      </w:pPr>
    </w:lvl>
    <w:lvl w:ilvl="4">
      <w:start w:val="1"/>
      <w:numFmt w:val="decimal"/>
      <w:pStyle w:val="Heading5"/>
      <w:lvlText w:val="%1.%2.%3.%4.%5"/>
      <w:lvlJc w:val="left"/>
      <w:pPr>
        <w:ind w:left="866" w:hanging="1008"/>
      </w:pPr>
    </w:lvl>
    <w:lvl w:ilvl="5">
      <w:start w:val="1"/>
      <w:numFmt w:val="decimal"/>
      <w:pStyle w:val="Heading6"/>
      <w:lvlText w:val="%1.%2.%3.%4.%5.%6"/>
      <w:lvlJc w:val="left"/>
      <w:pPr>
        <w:ind w:left="1010" w:hanging="1152"/>
      </w:pPr>
    </w:lvl>
    <w:lvl w:ilvl="6">
      <w:start w:val="1"/>
      <w:numFmt w:val="decimal"/>
      <w:pStyle w:val="Heading7"/>
      <w:lvlText w:val="%1.%2.%3.%4.%5.%6.%7"/>
      <w:lvlJc w:val="left"/>
      <w:pPr>
        <w:ind w:left="1154" w:hanging="1296"/>
      </w:pPr>
    </w:lvl>
    <w:lvl w:ilvl="7">
      <w:start w:val="1"/>
      <w:numFmt w:val="decimal"/>
      <w:pStyle w:val="Heading8"/>
      <w:lvlText w:val="%1.%2.%3.%4.%5.%6.%7.%8"/>
      <w:lvlJc w:val="left"/>
      <w:pPr>
        <w:ind w:left="1298" w:hanging="1440"/>
      </w:pPr>
    </w:lvl>
    <w:lvl w:ilvl="8">
      <w:start w:val="1"/>
      <w:numFmt w:val="decimal"/>
      <w:pStyle w:val="Heading9"/>
      <w:lvlText w:val="%1.%2.%3.%4.%5.%6.%7.%8.%9"/>
      <w:lvlJc w:val="left"/>
      <w:pPr>
        <w:ind w:left="1442" w:hanging="1584"/>
      </w:pPr>
    </w:lvl>
  </w:abstractNum>
  <w:abstractNum w:abstractNumId="15" w15:restartNumberingAfterBreak="0">
    <w:nsid w:val="69181B66"/>
    <w:multiLevelType w:val="hybridMultilevel"/>
    <w:tmpl w:val="A2784B6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6" w15:restartNumberingAfterBreak="0">
    <w:nsid w:val="6CB80ECB"/>
    <w:multiLevelType w:val="hybridMultilevel"/>
    <w:tmpl w:val="08667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121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BE7250"/>
    <w:multiLevelType w:val="multilevel"/>
    <w:tmpl w:val="86FA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4C3A27"/>
    <w:multiLevelType w:val="hybridMultilevel"/>
    <w:tmpl w:val="4D0AF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1A2FB1"/>
    <w:multiLevelType w:val="hybridMultilevel"/>
    <w:tmpl w:val="FAEA68A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3228" w:hanging="360"/>
      </w:pPr>
      <w:rPr>
        <w:rFonts w:ascii="Courier New" w:hAnsi="Courier New" w:cs="Courier New" w:hint="default"/>
      </w:rPr>
    </w:lvl>
    <w:lvl w:ilvl="2" w:tplc="08090005" w:tentative="1">
      <w:start w:val="1"/>
      <w:numFmt w:val="bullet"/>
      <w:lvlText w:val=""/>
      <w:lvlJc w:val="left"/>
      <w:pPr>
        <w:ind w:left="3948" w:hanging="360"/>
      </w:pPr>
      <w:rPr>
        <w:rFonts w:ascii="Wingdings" w:hAnsi="Wingdings" w:hint="default"/>
      </w:rPr>
    </w:lvl>
    <w:lvl w:ilvl="3" w:tplc="08090001" w:tentative="1">
      <w:start w:val="1"/>
      <w:numFmt w:val="bullet"/>
      <w:lvlText w:val=""/>
      <w:lvlJc w:val="left"/>
      <w:pPr>
        <w:ind w:left="4668" w:hanging="360"/>
      </w:pPr>
      <w:rPr>
        <w:rFonts w:ascii="Symbol" w:hAnsi="Symbol" w:hint="default"/>
      </w:rPr>
    </w:lvl>
    <w:lvl w:ilvl="4" w:tplc="08090003" w:tentative="1">
      <w:start w:val="1"/>
      <w:numFmt w:val="bullet"/>
      <w:lvlText w:val="o"/>
      <w:lvlJc w:val="left"/>
      <w:pPr>
        <w:ind w:left="5388" w:hanging="360"/>
      </w:pPr>
      <w:rPr>
        <w:rFonts w:ascii="Courier New" w:hAnsi="Courier New" w:cs="Courier New" w:hint="default"/>
      </w:rPr>
    </w:lvl>
    <w:lvl w:ilvl="5" w:tplc="08090005" w:tentative="1">
      <w:start w:val="1"/>
      <w:numFmt w:val="bullet"/>
      <w:lvlText w:val=""/>
      <w:lvlJc w:val="left"/>
      <w:pPr>
        <w:ind w:left="6108" w:hanging="360"/>
      </w:pPr>
      <w:rPr>
        <w:rFonts w:ascii="Wingdings" w:hAnsi="Wingdings" w:hint="default"/>
      </w:rPr>
    </w:lvl>
    <w:lvl w:ilvl="6" w:tplc="08090001" w:tentative="1">
      <w:start w:val="1"/>
      <w:numFmt w:val="bullet"/>
      <w:lvlText w:val=""/>
      <w:lvlJc w:val="left"/>
      <w:pPr>
        <w:ind w:left="6828" w:hanging="360"/>
      </w:pPr>
      <w:rPr>
        <w:rFonts w:ascii="Symbol" w:hAnsi="Symbol" w:hint="default"/>
      </w:rPr>
    </w:lvl>
    <w:lvl w:ilvl="7" w:tplc="08090003" w:tentative="1">
      <w:start w:val="1"/>
      <w:numFmt w:val="bullet"/>
      <w:lvlText w:val="o"/>
      <w:lvlJc w:val="left"/>
      <w:pPr>
        <w:ind w:left="7548" w:hanging="360"/>
      </w:pPr>
      <w:rPr>
        <w:rFonts w:ascii="Courier New" w:hAnsi="Courier New" w:cs="Courier New" w:hint="default"/>
      </w:rPr>
    </w:lvl>
    <w:lvl w:ilvl="8" w:tplc="08090005" w:tentative="1">
      <w:start w:val="1"/>
      <w:numFmt w:val="bullet"/>
      <w:lvlText w:val=""/>
      <w:lvlJc w:val="left"/>
      <w:pPr>
        <w:ind w:left="8268" w:hanging="360"/>
      </w:pPr>
      <w:rPr>
        <w:rFonts w:ascii="Wingdings" w:hAnsi="Wingdings" w:hint="default"/>
      </w:rPr>
    </w:lvl>
  </w:abstractNum>
  <w:abstractNum w:abstractNumId="20" w15:restartNumberingAfterBreak="0">
    <w:nsid w:val="7A75326C"/>
    <w:multiLevelType w:val="hybridMultilevel"/>
    <w:tmpl w:val="8D5A27E2"/>
    <w:lvl w:ilvl="0" w:tplc="08090001">
      <w:start w:val="1"/>
      <w:numFmt w:val="bullet"/>
      <w:lvlText w:val=""/>
      <w:lvlJc w:val="left"/>
      <w:pPr>
        <w:ind w:left="1145" w:hanging="360"/>
      </w:pPr>
      <w:rPr>
        <w:rFonts w:ascii="Symbol" w:hAnsi="Symbol" w:hint="default"/>
      </w:rPr>
    </w:lvl>
    <w:lvl w:ilvl="1" w:tplc="08090003">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num w:numId="1" w16cid:durableId="1803764074">
    <w:abstractNumId w:val="9"/>
  </w:num>
  <w:num w:numId="2" w16cid:durableId="318660694">
    <w:abstractNumId w:val="14"/>
  </w:num>
  <w:num w:numId="3" w16cid:durableId="227300865">
    <w:abstractNumId w:val="7"/>
  </w:num>
  <w:num w:numId="4" w16cid:durableId="968322147">
    <w:abstractNumId w:val="18"/>
  </w:num>
  <w:num w:numId="5" w16cid:durableId="1999267179">
    <w:abstractNumId w:val="6"/>
  </w:num>
  <w:num w:numId="6" w16cid:durableId="1096368660">
    <w:abstractNumId w:val="11"/>
  </w:num>
  <w:num w:numId="7" w16cid:durableId="1304119223">
    <w:abstractNumId w:val="8"/>
  </w:num>
  <w:num w:numId="8" w16cid:durableId="1788813886">
    <w:abstractNumId w:val="16"/>
  </w:num>
  <w:num w:numId="9" w16cid:durableId="1711493532">
    <w:abstractNumId w:val="2"/>
  </w:num>
  <w:num w:numId="10" w16cid:durableId="22832786">
    <w:abstractNumId w:val="12"/>
  </w:num>
  <w:num w:numId="11" w16cid:durableId="1288119748">
    <w:abstractNumId w:val="20"/>
  </w:num>
  <w:num w:numId="12" w16cid:durableId="797644657">
    <w:abstractNumId w:val="19"/>
  </w:num>
  <w:num w:numId="13" w16cid:durableId="1359357317">
    <w:abstractNumId w:val="1"/>
  </w:num>
  <w:num w:numId="14" w16cid:durableId="1309632793">
    <w:abstractNumId w:val="10"/>
  </w:num>
  <w:num w:numId="15" w16cid:durableId="1194347877">
    <w:abstractNumId w:val="15"/>
  </w:num>
  <w:num w:numId="16" w16cid:durableId="681932354">
    <w:abstractNumId w:val="5"/>
  </w:num>
  <w:num w:numId="17" w16cid:durableId="2119328706">
    <w:abstractNumId w:val="13"/>
  </w:num>
  <w:num w:numId="18" w16cid:durableId="1567032056">
    <w:abstractNumId w:val="17"/>
  </w:num>
  <w:num w:numId="19" w16cid:durableId="287321114">
    <w:abstractNumId w:val="0"/>
  </w:num>
  <w:num w:numId="20" w16cid:durableId="1463114229">
    <w:abstractNumId w:val="3"/>
  </w:num>
  <w:num w:numId="21" w16cid:durableId="54618361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2C"/>
    <w:rsid w:val="00000C67"/>
    <w:rsid w:val="00001C25"/>
    <w:rsid w:val="0000241A"/>
    <w:rsid w:val="00002FC0"/>
    <w:rsid w:val="0000341C"/>
    <w:rsid w:val="0000439A"/>
    <w:rsid w:val="00005158"/>
    <w:rsid w:val="00007F34"/>
    <w:rsid w:val="00010464"/>
    <w:rsid w:val="0001202C"/>
    <w:rsid w:val="000142AB"/>
    <w:rsid w:val="000205E4"/>
    <w:rsid w:val="000226CA"/>
    <w:rsid w:val="0002728C"/>
    <w:rsid w:val="000302A7"/>
    <w:rsid w:val="00030973"/>
    <w:rsid w:val="00034924"/>
    <w:rsid w:val="00034A9E"/>
    <w:rsid w:val="00037322"/>
    <w:rsid w:val="00037608"/>
    <w:rsid w:val="000416D9"/>
    <w:rsid w:val="00042958"/>
    <w:rsid w:val="00044CAA"/>
    <w:rsid w:val="00051E94"/>
    <w:rsid w:val="0005307F"/>
    <w:rsid w:val="00053BFA"/>
    <w:rsid w:val="00062B01"/>
    <w:rsid w:val="00064F5D"/>
    <w:rsid w:val="0006584D"/>
    <w:rsid w:val="000674E1"/>
    <w:rsid w:val="000728EA"/>
    <w:rsid w:val="00074553"/>
    <w:rsid w:val="0008204A"/>
    <w:rsid w:val="000836E4"/>
    <w:rsid w:val="0008607E"/>
    <w:rsid w:val="000879BB"/>
    <w:rsid w:val="00094D80"/>
    <w:rsid w:val="000952C1"/>
    <w:rsid w:val="00097430"/>
    <w:rsid w:val="000A0074"/>
    <w:rsid w:val="000A2EC6"/>
    <w:rsid w:val="000A359A"/>
    <w:rsid w:val="000B384A"/>
    <w:rsid w:val="000B3D60"/>
    <w:rsid w:val="000B67F2"/>
    <w:rsid w:val="000C2FBF"/>
    <w:rsid w:val="000D255A"/>
    <w:rsid w:val="000D3F4F"/>
    <w:rsid w:val="000D3FF5"/>
    <w:rsid w:val="000E2D3D"/>
    <w:rsid w:val="000E3813"/>
    <w:rsid w:val="000E3BA7"/>
    <w:rsid w:val="000E5258"/>
    <w:rsid w:val="000E5A92"/>
    <w:rsid w:val="000F16BF"/>
    <w:rsid w:val="000F53BE"/>
    <w:rsid w:val="000F6CEB"/>
    <w:rsid w:val="000F73F5"/>
    <w:rsid w:val="001037B4"/>
    <w:rsid w:val="00104091"/>
    <w:rsid w:val="001106E3"/>
    <w:rsid w:val="00112809"/>
    <w:rsid w:val="00114EEF"/>
    <w:rsid w:val="001150C8"/>
    <w:rsid w:val="00116688"/>
    <w:rsid w:val="0011757E"/>
    <w:rsid w:val="001212DF"/>
    <w:rsid w:val="001214D3"/>
    <w:rsid w:val="00124D93"/>
    <w:rsid w:val="00127ABF"/>
    <w:rsid w:val="001323C3"/>
    <w:rsid w:val="001336B6"/>
    <w:rsid w:val="00140DF1"/>
    <w:rsid w:val="00141C73"/>
    <w:rsid w:val="00143C3F"/>
    <w:rsid w:val="00146CD1"/>
    <w:rsid w:val="001518A6"/>
    <w:rsid w:val="00151C18"/>
    <w:rsid w:val="00152B55"/>
    <w:rsid w:val="00155511"/>
    <w:rsid w:val="00170F36"/>
    <w:rsid w:val="00171FBF"/>
    <w:rsid w:val="00181D46"/>
    <w:rsid w:val="00182E52"/>
    <w:rsid w:val="0018353C"/>
    <w:rsid w:val="00184039"/>
    <w:rsid w:val="00184DB4"/>
    <w:rsid w:val="00191244"/>
    <w:rsid w:val="001917A2"/>
    <w:rsid w:val="00194292"/>
    <w:rsid w:val="00197EC7"/>
    <w:rsid w:val="001A2F73"/>
    <w:rsid w:val="001A77EE"/>
    <w:rsid w:val="001B20EB"/>
    <w:rsid w:val="001B2407"/>
    <w:rsid w:val="001B24A5"/>
    <w:rsid w:val="001B301E"/>
    <w:rsid w:val="001B3BEA"/>
    <w:rsid w:val="001B625D"/>
    <w:rsid w:val="001D0129"/>
    <w:rsid w:val="001E20E6"/>
    <w:rsid w:val="001E3BBA"/>
    <w:rsid w:val="001E47F7"/>
    <w:rsid w:val="001E5A7A"/>
    <w:rsid w:val="001F0DBB"/>
    <w:rsid w:val="001F2370"/>
    <w:rsid w:val="001F3B2B"/>
    <w:rsid w:val="001F7035"/>
    <w:rsid w:val="0020078D"/>
    <w:rsid w:val="0020189D"/>
    <w:rsid w:val="00202882"/>
    <w:rsid w:val="00202D4D"/>
    <w:rsid w:val="0020369B"/>
    <w:rsid w:val="00205794"/>
    <w:rsid w:val="00210201"/>
    <w:rsid w:val="00216B0E"/>
    <w:rsid w:val="0021768B"/>
    <w:rsid w:val="00222BC9"/>
    <w:rsid w:val="002237F1"/>
    <w:rsid w:val="00224F9C"/>
    <w:rsid w:val="00231E28"/>
    <w:rsid w:val="00232D5F"/>
    <w:rsid w:val="002360F3"/>
    <w:rsid w:val="00236C19"/>
    <w:rsid w:val="002428E1"/>
    <w:rsid w:val="00242A41"/>
    <w:rsid w:val="00246EB3"/>
    <w:rsid w:val="00252291"/>
    <w:rsid w:val="00252ADF"/>
    <w:rsid w:val="00255F2F"/>
    <w:rsid w:val="00261663"/>
    <w:rsid w:val="00262095"/>
    <w:rsid w:val="00266601"/>
    <w:rsid w:val="00272CA8"/>
    <w:rsid w:val="00274054"/>
    <w:rsid w:val="002747C2"/>
    <w:rsid w:val="00280044"/>
    <w:rsid w:val="00281C3C"/>
    <w:rsid w:val="0028333C"/>
    <w:rsid w:val="00291647"/>
    <w:rsid w:val="002936F8"/>
    <w:rsid w:val="00297BDA"/>
    <w:rsid w:val="002A097B"/>
    <w:rsid w:val="002BFBCC"/>
    <w:rsid w:val="002C2ADC"/>
    <w:rsid w:val="002C792A"/>
    <w:rsid w:val="002D1098"/>
    <w:rsid w:val="002D4175"/>
    <w:rsid w:val="002D532C"/>
    <w:rsid w:val="002E049A"/>
    <w:rsid w:val="002E27F0"/>
    <w:rsid w:val="002E653C"/>
    <w:rsid w:val="002E72CE"/>
    <w:rsid w:val="002F015C"/>
    <w:rsid w:val="002F0537"/>
    <w:rsid w:val="002F14FD"/>
    <w:rsid w:val="002F463C"/>
    <w:rsid w:val="002F782B"/>
    <w:rsid w:val="0030168F"/>
    <w:rsid w:val="003057AE"/>
    <w:rsid w:val="00305985"/>
    <w:rsid w:val="00306092"/>
    <w:rsid w:val="00312385"/>
    <w:rsid w:val="00313C4E"/>
    <w:rsid w:val="00316E2C"/>
    <w:rsid w:val="0032084D"/>
    <w:rsid w:val="00320F23"/>
    <w:rsid w:val="00325311"/>
    <w:rsid w:val="00331E26"/>
    <w:rsid w:val="003339F7"/>
    <w:rsid w:val="00334884"/>
    <w:rsid w:val="00335C2C"/>
    <w:rsid w:val="003403EE"/>
    <w:rsid w:val="00341044"/>
    <w:rsid w:val="00343666"/>
    <w:rsid w:val="00343D44"/>
    <w:rsid w:val="0034421A"/>
    <w:rsid w:val="003465A3"/>
    <w:rsid w:val="00346792"/>
    <w:rsid w:val="00346CEE"/>
    <w:rsid w:val="00347E68"/>
    <w:rsid w:val="00351A40"/>
    <w:rsid w:val="003535A1"/>
    <w:rsid w:val="0036466F"/>
    <w:rsid w:val="003668FC"/>
    <w:rsid w:val="00366E54"/>
    <w:rsid w:val="00373F70"/>
    <w:rsid w:val="003740E9"/>
    <w:rsid w:val="00377706"/>
    <w:rsid w:val="003837ED"/>
    <w:rsid w:val="003837FA"/>
    <w:rsid w:val="00386B7C"/>
    <w:rsid w:val="00387879"/>
    <w:rsid w:val="003904F3"/>
    <w:rsid w:val="00390E0C"/>
    <w:rsid w:val="003917C0"/>
    <w:rsid w:val="003933F9"/>
    <w:rsid w:val="00393CCD"/>
    <w:rsid w:val="003A2C41"/>
    <w:rsid w:val="003A58C6"/>
    <w:rsid w:val="003B00B8"/>
    <w:rsid w:val="003B0C73"/>
    <w:rsid w:val="003B2EE5"/>
    <w:rsid w:val="003B6411"/>
    <w:rsid w:val="003B7D5D"/>
    <w:rsid w:val="003C0002"/>
    <w:rsid w:val="003C5CB1"/>
    <w:rsid w:val="003C6F6A"/>
    <w:rsid w:val="003D0DDE"/>
    <w:rsid w:val="003D7A90"/>
    <w:rsid w:val="003E1783"/>
    <w:rsid w:val="003E408C"/>
    <w:rsid w:val="003E5E24"/>
    <w:rsid w:val="003F24F0"/>
    <w:rsid w:val="00400016"/>
    <w:rsid w:val="00402368"/>
    <w:rsid w:val="00402E4B"/>
    <w:rsid w:val="004030DB"/>
    <w:rsid w:val="004060F5"/>
    <w:rsid w:val="00406627"/>
    <w:rsid w:val="004067F2"/>
    <w:rsid w:val="00413C1C"/>
    <w:rsid w:val="004167BD"/>
    <w:rsid w:val="00417D74"/>
    <w:rsid w:val="0042430E"/>
    <w:rsid w:val="00424FC9"/>
    <w:rsid w:val="0043009F"/>
    <w:rsid w:val="00434409"/>
    <w:rsid w:val="0043516E"/>
    <w:rsid w:val="0043581D"/>
    <w:rsid w:val="004368AE"/>
    <w:rsid w:val="004467A7"/>
    <w:rsid w:val="00447C5B"/>
    <w:rsid w:val="00453101"/>
    <w:rsid w:val="004553E3"/>
    <w:rsid w:val="004571F2"/>
    <w:rsid w:val="00462AA3"/>
    <w:rsid w:val="00462E21"/>
    <w:rsid w:val="00463199"/>
    <w:rsid w:val="00470891"/>
    <w:rsid w:val="00472046"/>
    <w:rsid w:val="004756CA"/>
    <w:rsid w:val="00477C6D"/>
    <w:rsid w:val="00481B3E"/>
    <w:rsid w:val="00483A85"/>
    <w:rsid w:val="0048654F"/>
    <w:rsid w:val="004910A8"/>
    <w:rsid w:val="00496F39"/>
    <w:rsid w:val="004A2349"/>
    <w:rsid w:val="004A2CC3"/>
    <w:rsid w:val="004A7617"/>
    <w:rsid w:val="004B3A63"/>
    <w:rsid w:val="004B45FF"/>
    <w:rsid w:val="004C329B"/>
    <w:rsid w:val="004C3DA9"/>
    <w:rsid w:val="004C5552"/>
    <w:rsid w:val="004D02C2"/>
    <w:rsid w:val="004D0FC2"/>
    <w:rsid w:val="004D3535"/>
    <w:rsid w:val="004D55F8"/>
    <w:rsid w:val="004D7F55"/>
    <w:rsid w:val="004E3B80"/>
    <w:rsid w:val="004F3CD4"/>
    <w:rsid w:val="005019CF"/>
    <w:rsid w:val="00506EDC"/>
    <w:rsid w:val="005073EB"/>
    <w:rsid w:val="00507A84"/>
    <w:rsid w:val="005124EF"/>
    <w:rsid w:val="00516D7C"/>
    <w:rsid w:val="00517266"/>
    <w:rsid w:val="00520E0E"/>
    <w:rsid w:val="00525BB1"/>
    <w:rsid w:val="00525D4D"/>
    <w:rsid w:val="005334BB"/>
    <w:rsid w:val="0053680F"/>
    <w:rsid w:val="00547B7A"/>
    <w:rsid w:val="005529ED"/>
    <w:rsid w:val="0055310F"/>
    <w:rsid w:val="00555575"/>
    <w:rsid w:val="00555AC2"/>
    <w:rsid w:val="0055649E"/>
    <w:rsid w:val="005564E8"/>
    <w:rsid w:val="00556A80"/>
    <w:rsid w:val="00562614"/>
    <w:rsid w:val="00562B68"/>
    <w:rsid w:val="00563A1A"/>
    <w:rsid w:val="0056470A"/>
    <w:rsid w:val="00565928"/>
    <w:rsid w:val="005669AF"/>
    <w:rsid w:val="00567211"/>
    <w:rsid w:val="00573EFA"/>
    <w:rsid w:val="005741DA"/>
    <w:rsid w:val="00575DA6"/>
    <w:rsid w:val="00577FC3"/>
    <w:rsid w:val="005825D9"/>
    <w:rsid w:val="00582E5D"/>
    <w:rsid w:val="00584A86"/>
    <w:rsid w:val="00587DC0"/>
    <w:rsid w:val="00591B68"/>
    <w:rsid w:val="00595BA4"/>
    <w:rsid w:val="005A0A84"/>
    <w:rsid w:val="005A36D0"/>
    <w:rsid w:val="005A5E5A"/>
    <w:rsid w:val="005A6968"/>
    <w:rsid w:val="005B2577"/>
    <w:rsid w:val="005B3595"/>
    <w:rsid w:val="005B7DA3"/>
    <w:rsid w:val="005C1A4A"/>
    <w:rsid w:val="005C5C0C"/>
    <w:rsid w:val="005C7687"/>
    <w:rsid w:val="005D04CE"/>
    <w:rsid w:val="005D66BF"/>
    <w:rsid w:val="005D71F2"/>
    <w:rsid w:val="005D72A8"/>
    <w:rsid w:val="005D73B2"/>
    <w:rsid w:val="005E24B7"/>
    <w:rsid w:val="005E39D3"/>
    <w:rsid w:val="005E55D4"/>
    <w:rsid w:val="005F0E20"/>
    <w:rsid w:val="005F1933"/>
    <w:rsid w:val="005F365E"/>
    <w:rsid w:val="005F4E82"/>
    <w:rsid w:val="005F5119"/>
    <w:rsid w:val="005F657F"/>
    <w:rsid w:val="005F789D"/>
    <w:rsid w:val="00601780"/>
    <w:rsid w:val="006023E9"/>
    <w:rsid w:val="0060474C"/>
    <w:rsid w:val="00612F3C"/>
    <w:rsid w:val="00615BE2"/>
    <w:rsid w:val="006218B6"/>
    <w:rsid w:val="006221A1"/>
    <w:rsid w:val="00625DC8"/>
    <w:rsid w:val="0062611D"/>
    <w:rsid w:val="00632B88"/>
    <w:rsid w:val="006339AF"/>
    <w:rsid w:val="0063449D"/>
    <w:rsid w:val="00635F2A"/>
    <w:rsid w:val="00636CF6"/>
    <w:rsid w:val="00637CF7"/>
    <w:rsid w:val="00642E31"/>
    <w:rsid w:val="00644152"/>
    <w:rsid w:val="0064454C"/>
    <w:rsid w:val="00646775"/>
    <w:rsid w:val="00654784"/>
    <w:rsid w:val="00656E57"/>
    <w:rsid w:val="00661CFE"/>
    <w:rsid w:val="00663DD5"/>
    <w:rsid w:val="00677535"/>
    <w:rsid w:val="006810C5"/>
    <w:rsid w:val="00684131"/>
    <w:rsid w:val="00685571"/>
    <w:rsid w:val="00687140"/>
    <w:rsid w:val="00694ABB"/>
    <w:rsid w:val="006A0778"/>
    <w:rsid w:val="006A0AF3"/>
    <w:rsid w:val="006A1D96"/>
    <w:rsid w:val="006A26E8"/>
    <w:rsid w:val="006A2E0D"/>
    <w:rsid w:val="006A482F"/>
    <w:rsid w:val="006A4E7F"/>
    <w:rsid w:val="006A7CC4"/>
    <w:rsid w:val="006B079B"/>
    <w:rsid w:val="006B0CE3"/>
    <w:rsid w:val="006B7553"/>
    <w:rsid w:val="006B7EB2"/>
    <w:rsid w:val="006C15FF"/>
    <w:rsid w:val="006C3308"/>
    <w:rsid w:val="006C4BB3"/>
    <w:rsid w:val="006C4D90"/>
    <w:rsid w:val="006C5F59"/>
    <w:rsid w:val="006C659D"/>
    <w:rsid w:val="006D31EB"/>
    <w:rsid w:val="006D41F2"/>
    <w:rsid w:val="006D46D5"/>
    <w:rsid w:val="006D5E9C"/>
    <w:rsid w:val="006D6141"/>
    <w:rsid w:val="006E0D71"/>
    <w:rsid w:val="006E35D3"/>
    <w:rsid w:val="006F05CF"/>
    <w:rsid w:val="006F5D65"/>
    <w:rsid w:val="00700A8F"/>
    <w:rsid w:val="007020F6"/>
    <w:rsid w:val="007040EA"/>
    <w:rsid w:val="007042C9"/>
    <w:rsid w:val="00705334"/>
    <w:rsid w:val="00710480"/>
    <w:rsid w:val="00715B0F"/>
    <w:rsid w:val="007247BA"/>
    <w:rsid w:val="00726A8B"/>
    <w:rsid w:val="00726E1D"/>
    <w:rsid w:val="00731ADC"/>
    <w:rsid w:val="0073616B"/>
    <w:rsid w:val="00736BB0"/>
    <w:rsid w:val="0073726C"/>
    <w:rsid w:val="00737343"/>
    <w:rsid w:val="00737DFF"/>
    <w:rsid w:val="0074040D"/>
    <w:rsid w:val="00742255"/>
    <w:rsid w:val="00745335"/>
    <w:rsid w:val="00757F3B"/>
    <w:rsid w:val="007617B3"/>
    <w:rsid w:val="0076542B"/>
    <w:rsid w:val="007678FC"/>
    <w:rsid w:val="00767FD3"/>
    <w:rsid w:val="0077110B"/>
    <w:rsid w:val="00771699"/>
    <w:rsid w:val="00774A35"/>
    <w:rsid w:val="00780716"/>
    <w:rsid w:val="00782006"/>
    <w:rsid w:val="007838EA"/>
    <w:rsid w:val="00790705"/>
    <w:rsid w:val="00790EDE"/>
    <w:rsid w:val="007917CD"/>
    <w:rsid w:val="00791A47"/>
    <w:rsid w:val="00791A79"/>
    <w:rsid w:val="0079391F"/>
    <w:rsid w:val="00797A32"/>
    <w:rsid w:val="007A3550"/>
    <w:rsid w:val="007A3C18"/>
    <w:rsid w:val="007A6B84"/>
    <w:rsid w:val="007B0BE6"/>
    <w:rsid w:val="007C1E97"/>
    <w:rsid w:val="007C1FA0"/>
    <w:rsid w:val="007C3D7B"/>
    <w:rsid w:val="007C3E70"/>
    <w:rsid w:val="007C7B79"/>
    <w:rsid w:val="007D1854"/>
    <w:rsid w:val="007D24B2"/>
    <w:rsid w:val="007D5352"/>
    <w:rsid w:val="007D6FF0"/>
    <w:rsid w:val="007E0215"/>
    <w:rsid w:val="007E04D6"/>
    <w:rsid w:val="007E12D0"/>
    <w:rsid w:val="007E2212"/>
    <w:rsid w:val="007E3B6D"/>
    <w:rsid w:val="007F06E1"/>
    <w:rsid w:val="007F16B9"/>
    <w:rsid w:val="007F2602"/>
    <w:rsid w:val="007F3377"/>
    <w:rsid w:val="007F5CA5"/>
    <w:rsid w:val="007F6A24"/>
    <w:rsid w:val="007F6C7D"/>
    <w:rsid w:val="00802608"/>
    <w:rsid w:val="008044B6"/>
    <w:rsid w:val="0080529E"/>
    <w:rsid w:val="00811D15"/>
    <w:rsid w:val="00813F91"/>
    <w:rsid w:val="00815AB5"/>
    <w:rsid w:val="008200F1"/>
    <w:rsid w:val="00822706"/>
    <w:rsid w:val="008237CF"/>
    <w:rsid w:val="008240D8"/>
    <w:rsid w:val="00824982"/>
    <w:rsid w:val="00825C78"/>
    <w:rsid w:val="00826509"/>
    <w:rsid w:val="00830D10"/>
    <w:rsid w:val="0083100A"/>
    <w:rsid w:val="00832B9B"/>
    <w:rsid w:val="00834AC4"/>
    <w:rsid w:val="00834F64"/>
    <w:rsid w:val="008369CF"/>
    <w:rsid w:val="00841EC8"/>
    <w:rsid w:val="00842035"/>
    <w:rsid w:val="00842826"/>
    <w:rsid w:val="00842D39"/>
    <w:rsid w:val="00845F62"/>
    <w:rsid w:val="00846B0C"/>
    <w:rsid w:val="00854DD1"/>
    <w:rsid w:val="00863900"/>
    <w:rsid w:val="00871886"/>
    <w:rsid w:val="00873CE2"/>
    <w:rsid w:val="0087660C"/>
    <w:rsid w:val="008766F3"/>
    <w:rsid w:val="008778B0"/>
    <w:rsid w:val="00884052"/>
    <w:rsid w:val="00884801"/>
    <w:rsid w:val="008850C4"/>
    <w:rsid w:val="00885901"/>
    <w:rsid w:val="00896DC4"/>
    <w:rsid w:val="008A2F65"/>
    <w:rsid w:val="008A3C16"/>
    <w:rsid w:val="008A4165"/>
    <w:rsid w:val="008B2623"/>
    <w:rsid w:val="008B3F1A"/>
    <w:rsid w:val="008B432B"/>
    <w:rsid w:val="008B4D6A"/>
    <w:rsid w:val="008B5EAC"/>
    <w:rsid w:val="008B7C70"/>
    <w:rsid w:val="008C07BF"/>
    <w:rsid w:val="008C26B8"/>
    <w:rsid w:val="008C2B49"/>
    <w:rsid w:val="008C5733"/>
    <w:rsid w:val="008C6AE4"/>
    <w:rsid w:val="008D5AA1"/>
    <w:rsid w:val="008E4352"/>
    <w:rsid w:val="008E46F8"/>
    <w:rsid w:val="008E4BC2"/>
    <w:rsid w:val="008E6174"/>
    <w:rsid w:val="008E6362"/>
    <w:rsid w:val="008E6E59"/>
    <w:rsid w:val="008E79B7"/>
    <w:rsid w:val="008F16A6"/>
    <w:rsid w:val="008F260E"/>
    <w:rsid w:val="008F3DEE"/>
    <w:rsid w:val="008F5848"/>
    <w:rsid w:val="008F5DF0"/>
    <w:rsid w:val="00900021"/>
    <w:rsid w:val="009005F9"/>
    <w:rsid w:val="00900A93"/>
    <w:rsid w:val="00907441"/>
    <w:rsid w:val="009140EA"/>
    <w:rsid w:val="00917D94"/>
    <w:rsid w:val="0092653D"/>
    <w:rsid w:val="0093281B"/>
    <w:rsid w:val="00936E4A"/>
    <w:rsid w:val="009372A4"/>
    <w:rsid w:val="0093741E"/>
    <w:rsid w:val="009377D1"/>
    <w:rsid w:val="00937937"/>
    <w:rsid w:val="00942331"/>
    <w:rsid w:val="00942334"/>
    <w:rsid w:val="0095282C"/>
    <w:rsid w:val="00955271"/>
    <w:rsid w:val="009605B9"/>
    <w:rsid w:val="00960930"/>
    <w:rsid w:val="00961D90"/>
    <w:rsid w:val="009644A6"/>
    <w:rsid w:val="00966834"/>
    <w:rsid w:val="00966F56"/>
    <w:rsid w:val="00970BAD"/>
    <w:rsid w:val="009710A4"/>
    <w:rsid w:val="00972410"/>
    <w:rsid w:val="00974622"/>
    <w:rsid w:val="00976991"/>
    <w:rsid w:val="009774E6"/>
    <w:rsid w:val="00981005"/>
    <w:rsid w:val="0098158D"/>
    <w:rsid w:val="009829F7"/>
    <w:rsid w:val="00987BCE"/>
    <w:rsid w:val="00991EE6"/>
    <w:rsid w:val="00992658"/>
    <w:rsid w:val="00995184"/>
    <w:rsid w:val="00997379"/>
    <w:rsid w:val="009A3AAE"/>
    <w:rsid w:val="009A3F2B"/>
    <w:rsid w:val="009A46A6"/>
    <w:rsid w:val="009A721A"/>
    <w:rsid w:val="009B0E24"/>
    <w:rsid w:val="009B223D"/>
    <w:rsid w:val="009C41A1"/>
    <w:rsid w:val="009C4B3C"/>
    <w:rsid w:val="009C5AF7"/>
    <w:rsid w:val="009D0FDE"/>
    <w:rsid w:val="009D132D"/>
    <w:rsid w:val="009D1B5B"/>
    <w:rsid w:val="009D2C52"/>
    <w:rsid w:val="009D2DB2"/>
    <w:rsid w:val="009D5354"/>
    <w:rsid w:val="009D726E"/>
    <w:rsid w:val="009D7686"/>
    <w:rsid w:val="009E46C0"/>
    <w:rsid w:val="009E7762"/>
    <w:rsid w:val="009F0284"/>
    <w:rsid w:val="009F0A09"/>
    <w:rsid w:val="009F26D2"/>
    <w:rsid w:val="009F2C13"/>
    <w:rsid w:val="009F381C"/>
    <w:rsid w:val="00A060C6"/>
    <w:rsid w:val="00A06313"/>
    <w:rsid w:val="00A066A1"/>
    <w:rsid w:val="00A06DEE"/>
    <w:rsid w:val="00A102B7"/>
    <w:rsid w:val="00A10CE8"/>
    <w:rsid w:val="00A125E6"/>
    <w:rsid w:val="00A12A8E"/>
    <w:rsid w:val="00A130F1"/>
    <w:rsid w:val="00A15BF5"/>
    <w:rsid w:val="00A208E9"/>
    <w:rsid w:val="00A20AD3"/>
    <w:rsid w:val="00A26D2F"/>
    <w:rsid w:val="00A27F0F"/>
    <w:rsid w:val="00A305DB"/>
    <w:rsid w:val="00A32D05"/>
    <w:rsid w:val="00A346C6"/>
    <w:rsid w:val="00A3701C"/>
    <w:rsid w:val="00A41E64"/>
    <w:rsid w:val="00A50461"/>
    <w:rsid w:val="00A61A0E"/>
    <w:rsid w:val="00A662FA"/>
    <w:rsid w:val="00A734AB"/>
    <w:rsid w:val="00A739FB"/>
    <w:rsid w:val="00A819C1"/>
    <w:rsid w:val="00A8209A"/>
    <w:rsid w:val="00A824CB"/>
    <w:rsid w:val="00A837B7"/>
    <w:rsid w:val="00A856C4"/>
    <w:rsid w:val="00A902AE"/>
    <w:rsid w:val="00A90F8F"/>
    <w:rsid w:val="00A935DF"/>
    <w:rsid w:val="00A93F50"/>
    <w:rsid w:val="00A95E23"/>
    <w:rsid w:val="00A9684A"/>
    <w:rsid w:val="00A979FA"/>
    <w:rsid w:val="00AA514E"/>
    <w:rsid w:val="00AB10AA"/>
    <w:rsid w:val="00AB2B8E"/>
    <w:rsid w:val="00AB3992"/>
    <w:rsid w:val="00AB6567"/>
    <w:rsid w:val="00AB6DCE"/>
    <w:rsid w:val="00AB7E8C"/>
    <w:rsid w:val="00AC2462"/>
    <w:rsid w:val="00AC295A"/>
    <w:rsid w:val="00AC4D9E"/>
    <w:rsid w:val="00AD45BB"/>
    <w:rsid w:val="00AD57C7"/>
    <w:rsid w:val="00AE0872"/>
    <w:rsid w:val="00AE286E"/>
    <w:rsid w:val="00AE3607"/>
    <w:rsid w:val="00AE677A"/>
    <w:rsid w:val="00AF244F"/>
    <w:rsid w:val="00AF2ADC"/>
    <w:rsid w:val="00AF46E8"/>
    <w:rsid w:val="00AF5D6A"/>
    <w:rsid w:val="00AF682A"/>
    <w:rsid w:val="00AF6D63"/>
    <w:rsid w:val="00B01922"/>
    <w:rsid w:val="00B02E67"/>
    <w:rsid w:val="00B04F29"/>
    <w:rsid w:val="00B05D06"/>
    <w:rsid w:val="00B05DC7"/>
    <w:rsid w:val="00B11DFC"/>
    <w:rsid w:val="00B14051"/>
    <w:rsid w:val="00B146F6"/>
    <w:rsid w:val="00B14DE9"/>
    <w:rsid w:val="00B2281D"/>
    <w:rsid w:val="00B26796"/>
    <w:rsid w:val="00B270BC"/>
    <w:rsid w:val="00B27842"/>
    <w:rsid w:val="00B30DBB"/>
    <w:rsid w:val="00B31BD5"/>
    <w:rsid w:val="00B321E8"/>
    <w:rsid w:val="00B32D83"/>
    <w:rsid w:val="00B353F6"/>
    <w:rsid w:val="00B447E7"/>
    <w:rsid w:val="00B5148D"/>
    <w:rsid w:val="00B52359"/>
    <w:rsid w:val="00B52FD5"/>
    <w:rsid w:val="00B55A68"/>
    <w:rsid w:val="00B61038"/>
    <w:rsid w:val="00B61D02"/>
    <w:rsid w:val="00B630F6"/>
    <w:rsid w:val="00B66F2E"/>
    <w:rsid w:val="00B67514"/>
    <w:rsid w:val="00B71E96"/>
    <w:rsid w:val="00B85A9B"/>
    <w:rsid w:val="00B901AA"/>
    <w:rsid w:val="00B91189"/>
    <w:rsid w:val="00B92371"/>
    <w:rsid w:val="00B926BD"/>
    <w:rsid w:val="00B934A8"/>
    <w:rsid w:val="00B93ADA"/>
    <w:rsid w:val="00B93EB5"/>
    <w:rsid w:val="00B942B8"/>
    <w:rsid w:val="00B9524B"/>
    <w:rsid w:val="00B95852"/>
    <w:rsid w:val="00B961E9"/>
    <w:rsid w:val="00B969EF"/>
    <w:rsid w:val="00B96AB7"/>
    <w:rsid w:val="00B96D50"/>
    <w:rsid w:val="00B9792A"/>
    <w:rsid w:val="00BA1390"/>
    <w:rsid w:val="00BA15F1"/>
    <w:rsid w:val="00BA4E2F"/>
    <w:rsid w:val="00BA7C13"/>
    <w:rsid w:val="00BB022C"/>
    <w:rsid w:val="00BB1833"/>
    <w:rsid w:val="00BB3D9D"/>
    <w:rsid w:val="00BB6EA8"/>
    <w:rsid w:val="00BC0878"/>
    <w:rsid w:val="00BC1C28"/>
    <w:rsid w:val="00BC5493"/>
    <w:rsid w:val="00BC6FE8"/>
    <w:rsid w:val="00BC7371"/>
    <w:rsid w:val="00BD019C"/>
    <w:rsid w:val="00BD0CE7"/>
    <w:rsid w:val="00BD0FFC"/>
    <w:rsid w:val="00BD18F6"/>
    <w:rsid w:val="00BD2677"/>
    <w:rsid w:val="00BD5C92"/>
    <w:rsid w:val="00BD6E39"/>
    <w:rsid w:val="00BE053A"/>
    <w:rsid w:val="00BE1A15"/>
    <w:rsid w:val="00BE1D7D"/>
    <w:rsid w:val="00BE20DB"/>
    <w:rsid w:val="00BE4A61"/>
    <w:rsid w:val="00BE540D"/>
    <w:rsid w:val="00BE5C6E"/>
    <w:rsid w:val="00BE6A79"/>
    <w:rsid w:val="00BF0794"/>
    <w:rsid w:val="00BF2AD9"/>
    <w:rsid w:val="00BF3B93"/>
    <w:rsid w:val="00BF7EDF"/>
    <w:rsid w:val="00C061C9"/>
    <w:rsid w:val="00C07CD4"/>
    <w:rsid w:val="00C10A68"/>
    <w:rsid w:val="00C10A91"/>
    <w:rsid w:val="00C11129"/>
    <w:rsid w:val="00C1520D"/>
    <w:rsid w:val="00C238D3"/>
    <w:rsid w:val="00C25446"/>
    <w:rsid w:val="00C263E8"/>
    <w:rsid w:val="00C3040F"/>
    <w:rsid w:val="00C33F64"/>
    <w:rsid w:val="00C37A7A"/>
    <w:rsid w:val="00C4094A"/>
    <w:rsid w:val="00C448D9"/>
    <w:rsid w:val="00C4582C"/>
    <w:rsid w:val="00C47064"/>
    <w:rsid w:val="00C50861"/>
    <w:rsid w:val="00C5284D"/>
    <w:rsid w:val="00C544F8"/>
    <w:rsid w:val="00C70640"/>
    <w:rsid w:val="00C7076F"/>
    <w:rsid w:val="00C724BE"/>
    <w:rsid w:val="00C73BC4"/>
    <w:rsid w:val="00C741D2"/>
    <w:rsid w:val="00C76E9B"/>
    <w:rsid w:val="00C805AC"/>
    <w:rsid w:val="00C80670"/>
    <w:rsid w:val="00C828E2"/>
    <w:rsid w:val="00C834B2"/>
    <w:rsid w:val="00C83586"/>
    <w:rsid w:val="00C836B9"/>
    <w:rsid w:val="00C851D2"/>
    <w:rsid w:val="00C85770"/>
    <w:rsid w:val="00C92E8F"/>
    <w:rsid w:val="00C93EB2"/>
    <w:rsid w:val="00C94A14"/>
    <w:rsid w:val="00C97E99"/>
    <w:rsid w:val="00CB4620"/>
    <w:rsid w:val="00CC0BDE"/>
    <w:rsid w:val="00CC1249"/>
    <w:rsid w:val="00CC1E05"/>
    <w:rsid w:val="00CC7A68"/>
    <w:rsid w:val="00CD06BA"/>
    <w:rsid w:val="00CD533D"/>
    <w:rsid w:val="00CE2162"/>
    <w:rsid w:val="00CE2CFF"/>
    <w:rsid w:val="00CE68BF"/>
    <w:rsid w:val="00CF1361"/>
    <w:rsid w:val="00CF644C"/>
    <w:rsid w:val="00CF6B0E"/>
    <w:rsid w:val="00CF7AC3"/>
    <w:rsid w:val="00D001A2"/>
    <w:rsid w:val="00D00602"/>
    <w:rsid w:val="00D01364"/>
    <w:rsid w:val="00D05C76"/>
    <w:rsid w:val="00D07F7D"/>
    <w:rsid w:val="00D125C4"/>
    <w:rsid w:val="00D1264C"/>
    <w:rsid w:val="00D15E21"/>
    <w:rsid w:val="00D26458"/>
    <w:rsid w:val="00D267BB"/>
    <w:rsid w:val="00D30012"/>
    <w:rsid w:val="00D35F1F"/>
    <w:rsid w:val="00D44179"/>
    <w:rsid w:val="00D45CCC"/>
    <w:rsid w:val="00D45E3B"/>
    <w:rsid w:val="00D47EBA"/>
    <w:rsid w:val="00D5208B"/>
    <w:rsid w:val="00D56752"/>
    <w:rsid w:val="00D61F59"/>
    <w:rsid w:val="00D632F1"/>
    <w:rsid w:val="00D66D57"/>
    <w:rsid w:val="00D71B95"/>
    <w:rsid w:val="00D723E0"/>
    <w:rsid w:val="00D74650"/>
    <w:rsid w:val="00D75219"/>
    <w:rsid w:val="00D76548"/>
    <w:rsid w:val="00D77A56"/>
    <w:rsid w:val="00D82D0F"/>
    <w:rsid w:val="00D866C5"/>
    <w:rsid w:val="00D94411"/>
    <w:rsid w:val="00D97712"/>
    <w:rsid w:val="00DA0FCE"/>
    <w:rsid w:val="00DA0FE0"/>
    <w:rsid w:val="00DA1755"/>
    <w:rsid w:val="00DA2CA8"/>
    <w:rsid w:val="00DA3BBD"/>
    <w:rsid w:val="00DA693D"/>
    <w:rsid w:val="00DA7006"/>
    <w:rsid w:val="00DA7A59"/>
    <w:rsid w:val="00DB02E1"/>
    <w:rsid w:val="00DB0584"/>
    <w:rsid w:val="00DB34F7"/>
    <w:rsid w:val="00DC0401"/>
    <w:rsid w:val="00DC09D5"/>
    <w:rsid w:val="00DC226C"/>
    <w:rsid w:val="00DC2A4F"/>
    <w:rsid w:val="00DC3A34"/>
    <w:rsid w:val="00DC3A6C"/>
    <w:rsid w:val="00DC478C"/>
    <w:rsid w:val="00DC60F4"/>
    <w:rsid w:val="00DC6D95"/>
    <w:rsid w:val="00DC78A6"/>
    <w:rsid w:val="00DD014E"/>
    <w:rsid w:val="00DD2B89"/>
    <w:rsid w:val="00DD322B"/>
    <w:rsid w:val="00DD33E3"/>
    <w:rsid w:val="00DD443C"/>
    <w:rsid w:val="00DD6E92"/>
    <w:rsid w:val="00DD7F69"/>
    <w:rsid w:val="00DE15CB"/>
    <w:rsid w:val="00DE2340"/>
    <w:rsid w:val="00DE3811"/>
    <w:rsid w:val="00DE5131"/>
    <w:rsid w:val="00DF0887"/>
    <w:rsid w:val="00DF3017"/>
    <w:rsid w:val="00DF46D0"/>
    <w:rsid w:val="00E07DD2"/>
    <w:rsid w:val="00E10AF5"/>
    <w:rsid w:val="00E139DF"/>
    <w:rsid w:val="00E17CA0"/>
    <w:rsid w:val="00E25AF7"/>
    <w:rsid w:val="00E27036"/>
    <w:rsid w:val="00E27C08"/>
    <w:rsid w:val="00E27FD4"/>
    <w:rsid w:val="00E347B2"/>
    <w:rsid w:val="00E34E7B"/>
    <w:rsid w:val="00E361E0"/>
    <w:rsid w:val="00E40B08"/>
    <w:rsid w:val="00E40EEF"/>
    <w:rsid w:val="00E45AF1"/>
    <w:rsid w:val="00E47610"/>
    <w:rsid w:val="00E52812"/>
    <w:rsid w:val="00E63077"/>
    <w:rsid w:val="00E6354C"/>
    <w:rsid w:val="00E648D4"/>
    <w:rsid w:val="00E66AF4"/>
    <w:rsid w:val="00E67077"/>
    <w:rsid w:val="00E67238"/>
    <w:rsid w:val="00E67D08"/>
    <w:rsid w:val="00E717E1"/>
    <w:rsid w:val="00E74A46"/>
    <w:rsid w:val="00E7749A"/>
    <w:rsid w:val="00E80EA9"/>
    <w:rsid w:val="00E816C3"/>
    <w:rsid w:val="00E833B5"/>
    <w:rsid w:val="00E85368"/>
    <w:rsid w:val="00E85F6A"/>
    <w:rsid w:val="00E86E8E"/>
    <w:rsid w:val="00E91015"/>
    <w:rsid w:val="00E910D4"/>
    <w:rsid w:val="00E92762"/>
    <w:rsid w:val="00E9493F"/>
    <w:rsid w:val="00E963E9"/>
    <w:rsid w:val="00EB1BA0"/>
    <w:rsid w:val="00EB23EC"/>
    <w:rsid w:val="00EB51FB"/>
    <w:rsid w:val="00EB5C44"/>
    <w:rsid w:val="00EB6B82"/>
    <w:rsid w:val="00EB7276"/>
    <w:rsid w:val="00EC13F0"/>
    <w:rsid w:val="00EC334A"/>
    <w:rsid w:val="00EC38B9"/>
    <w:rsid w:val="00EC7BEA"/>
    <w:rsid w:val="00ED0541"/>
    <w:rsid w:val="00ED75E3"/>
    <w:rsid w:val="00EE1CD1"/>
    <w:rsid w:val="00EE254A"/>
    <w:rsid w:val="00EE2CA3"/>
    <w:rsid w:val="00EE317A"/>
    <w:rsid w:val="00EE4BDA"/>
    <w:rsid w:val="00EE4DD8"/>
    <w:rsid w:val="00EE6EB7"/>
    <w:rsid w:val="00EE7401"/>
    <w:rsid w:val="00EF3B93"/>
    <w:rsid w:val="00EF7C70"/>
    <w:rsid w:val="00F01246"/>
    <w:rsid w:val="00F01C58"/>
    <w:rsid w:val="00F05C3C"/>
    <w:rsid w:val="00F05D43"/>
    <w:rsid w:val="00F063B9"/>
    <w:rsid w:val="00F07EE0"/>
    <w:rsid w:val="00F107E1"/>
    <w:rsid w:val="00F11374"/>
    <w:rsid w:val="00F11E4B"/>
    <w:rsid w:val="00F12FE9"/>
    <w:rsid w:val="00F13856"/>
    <w:rsid w:val="00F169A4"/>
    <w:rsid w:val="00F17CC6"/>
    <w:rsid w:val="00F2520C"/>
    <w:rsid w:val="00F31234"/>
    <w:rsid w:val="00F3377F"/>
    <w:rsid w:val="00F33FAA"/>
    <w:rsid w:val="00F37E05"/>
    <w:rsid w:val="00F40BDE"/>
    <w:rsid w:val="00F416A7"/>
    <w:rsid w:val="00F472C5"/>
    <w:rsid w:val="00F558EA"/>
    <w:rsid w:val="00F62AA9"/>
    <w:rsid w:val="00F654F0"/>
    <w:rsid w:val="00F7536E"/>
    <w:rsid w:val="00F759E7"/>
    <w:rsid w:val="00F75F6E"/>
    <w:rsid w:val="00F779A6"/>
    <w:rsid w:val="00F8093B"/>
    <w:rsid w:val="00F82795"/>
    <w:rsid w:val="00F84821"/>
    <w:rsid w:val="00F8626C"/>
    <w:rsid w:val="00F909B2"/>
    <w:rsid w:val="00FA56E3"/>
    <w:rsid w:val="00FA58F8"/>
    <w:rsid w:val="00FB0EC6"/>
    <w:rsid w:val="00FB1F60"/>
    <w:rsid w:val="00FB49DA"/>
    <w:rsid w:val="00FB51E3"/>
    <w:rsid w:val="00FB58D2"/>
    <w:rsid w:val="00FB67F2"/>
    <w:rsid w:val="00FC7D14"/>
    <w:rsid w:val="00FC7DA3"/>
    <w:rsid w:val="00FD0CBE"/>
    <w:rsid w:val="00FD0CF8"/>
    <w:rsid w:val="00FD0D38"/>
    <w:rsid w:val="00FD630A"/>
    <w:rsid w:val="00FE17D2"/>
    <w:rsid w:val="00FE1D1E"/>
    <w:rsid w:val="00FE5A3F"/>
    <w:rsid w:val="00FE6DED"/>
    <w:rsid w:val="00FF57E3"/>
    <w:rsid w:val="06CC59AE"/>
    <w:rsid w:val="0EC5E0B0"/>
    <w:rsid w:val="1166ED81"/>
    <w:rsid w:val="13EA477A"/>
    <w:rsid w:val="1FF532CB"/>
    <w:rsid w:val="30F69D6B"/>
    <w:rsid w:val="3336A562"/>
    <w:rsid w:val="3EFAF656"/>
    <w:rsid w:val="4556E28A"/>
    <w:rsid w:val="50B42B01"/>
    <w:rsid w:val="567E9B9C"/>
    <w:rsid w:val="5C75FC87"/>
    <w:rsid w:val="5D74A31E"/>
    <w:rsid w:val="7C55E43D"/>
    <w:rsid w:val="7EAC2D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EFF0"/>
  <w15:docId w15:val="{393E3A41-B1DE-4AA9-A812-685BE555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4F81BD" w:themeColor="accent1"/>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60C"/>
    <w:pPr>
      <w:spacing w:line="360" w:lineRule="auto"/>
    </w:pPr>
  </w:style>
  <w:style w:type="paragraph" w:styleId="Heading1">
    <w:name w:val="heading 1"/>
    <w:basedOn w:val="Normal"/>
    <w:next w:val="Normal"/>
    <w:link w:val="Heading1Char"/>
    <w:qFormat/>
    <w:rsid w:val="005669AF"/>
    <w:pPr>
      <w:numPr>
        <w:numId w:val="2"/>
      </w:numPr>
      <w:outlineLvl w:val="0"/>
    </w:pPr>
    <w:rPr>
      <w:b/>
      <w:color w:val="auto"/>
      <w:sz w:val="28"/>
      <w:szCs w:val="22"/>
    </w:rPr>
  </w:style>
  <w:style w:type="paragraph" w:styleId="Heading2">
    <w:name w:val="heading 2"/>
    <w:basedOn w:val="Normal"/>
    <w:next w:val="Normal"/>
    <w:link w:val="Heading2Char"/>
    <w:unhideWhenUsed/>
    <w:qFormat/>
    <w:rsid w:val="00335C2C"/>
    <w:pPr>
      <w:keepNext/>
      <w:keepLines/>
      <w:numPr>
        <w:ilvl w:val="1"/>
        <w:numId w:val="2"/>
      </w:numPr>
      <w:spacing w:before="200"/>
      <w:ind w:left="718"/>
      <w:outlineLvl w:val="1"/>
    </w:pPr>
    <w:rPr>
      <w:rFonts w:eastAsiaTheme="majorEastAsia" w:cstheme="majorBidi"/>
      <w:b/>
      <w:bCs/>
      <w:color w:val="auto"/>
      <w:szCs w:val="26"/>
    </w:rPr>
  </w:style>
  <w:style w:type="paragraph" w:styleId="Heading3">
    <w:name w:val="heading 3"/>
    <w:basedOn w:val="Normal"/>
    <w:next w:val="Normal"/>
    <w:link w:val="Heading3Char"/>
    <w:unhideWhenUsed/>
    <w:qFormat/>
    <w:rsid w:val="00197EC7"/>
    <w:pPr>
      <w:keepNext/>
      <w:keepLines/>
      <w:numPr>
        <w:ilvl w:val="2"/>
        <w:numId w:val="2"/>
      </w:numPr>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197EC7"/>
    <w:pPr>
      <w:keepNext/>
      <w:keepLines/>
      <w:numPr>
        <w:ilvl w:val="3"/>
        <w:numId w:val="2"/>
      </w:num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semiHidden/>
    <w:unhideWhenUsed/>
    <w:qFormat/>
    <w:rsid w:val="00197EC7"/>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97EC7"/>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97EC7"/>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97EC7"/>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97EC7"/>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4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E1D7D"/>
    <w:pPr>
      <w:tabs>
        <w:tab w:val="center" w:pos="4153"/>
        <w:tab w:val="right" w:pos="8306"/>
      </w:tabs>
    </w:pPr>
    <w:rPr>
      <w:lang w:val="x-none" w:eastAsia="x-none"/>
    </w:rPr>
  </w:style>
  <w:style w:type="paragraph" w:styleId="Footer">
    <w:name w:val="footer"/>
    <w:basedOn w:val="Normal"/>
    <w:link w:val="FooterChar"/>
    <w:uiPriority w:val="99"/>
    <w:rsid w:val="00BE1D7D"/>
    <w:pPr>
      <w:tabs>
        <w:tab w:val="center" w:pos="4153"/>
        <w:tab w:val="right" w:pos="8306"/>
      </w:tabs>
    </w:pPr>
    <w:rPr>
      <w:lang w:val="x-none" w:eastAsia="x-none"/>
    </w:rPr>
  </w:style>
  <w:style w:type="paragraph" w:styleId="BodyText">
    <w:name w:val="Body Text"/>
    <w:basedOn w:val="Normal"/>
    <w:link w:val="BodyTextChar"/>
    <w:rsid w:val="00274054"/>
    <w:pPr>
      <w:jc w:val="both"/>
    </w:pPr>
    <w:rPr>
      <w:szCs w:val="20"/>
      <w:lang w:val="x-none" w:eastAsia="en-US"/>
    </w:rPr>
  </w:style>
  <w:style w:type="character" w:customStyle="1" w:styleId="BodyTextChar">
    <w:name w:val="Body Text Char"/>
    <w:link w:val="BodyText"/>
    <w:rsid w:val="00274054"/>
    <w:rPr>
      <w:rFonts w:ascii="Arial" w:hAnsi="Arial"/>
      <w:sz w:val="24"/>
      <w:lang w:eastAsia="en-US"/>
    </w:rPr>
  </w:style>
  <w:style w:type="character" w:styleId="Strong">
    <w:name w:val="Strong"/>
    <w:qFormat/>
    <w:rsid w:val="00274054"/>
    <w:rPr>
      <w:b/>
      <w:bCs/>
    </w:rPr>
  </w:style>
  <w:style w:type="paragraph" w:customStyle="1" w:styleId="default">
    <w:name w:val="default"/>
    <w:basedOn w:val="Normal"/>
    <w:rsid w:val="008B5EAC"/>
    <w:pPr>
      <w:autoSpaceDE w:val="0"/>
      <w:autoSpaceDN w:val="0"/>
    </w:pPr>
    <w:rPr>
      <w:rFonts w:eastAsia="Calibri"/>
      <w:color w:val="000000"/>
    </w:rPr>
  </w:style>
  <w:style w:type="character" w:styleId="PageNumber">
    <w:name w:val="page number"/>
    <w:basedOn w:val="DefaultParagraphFont"/>
    <w:rsid w:val="0020078D"/>
  </w:style>
  <w:style w:type="character" w:styleId="CommentReference">
    <w:name w:val="annotation reference"/>
    <w:semiHidden/>
    <w:rsid w:val="0020078D"/>
    <w:rPr>
      <w:sz w:val="16"/>
      <w:szCs w:val="16"/>
    </w:rPr>
  </w:style>
  <w:style w:type="paragraph" w:styleId="CommentText">
    <w:name w:val="annotation text"/>
    <w:basedOn w:val="Normal"/>
    <w:semiHidden/>
    <w:rsid w:val="0020078D"/>
    <w:rPr>
      <w:sz w:val="20"/>
      <w:szCs w:val="20"/>
    </w:rPr>
  </w:style>
  <w:style w:type="paragraph" w:styleId="CommentSubject">
    <w:name w:val="annotation subject"/>
    <w:basedOn w:val="CommentText"/>
    <w:next w:val="CommentText"/>
    <w:semiHidden/>
    <w:rsid w:val="0020078D"/>
    <w:rPr>
      <w:b/>
      <w:bCs/>
    </w:rPr>
  </w:style>
  <w:style w:type="paragraph" w:styleId="BalloonText">
    <w:name w:val="Balloon Text"/>
    <w:basedOn w:val="Normal"/>
    <w:semiHidden/>
    <w:rsid w:val="0020078D"/>
    <w:rPr>
      <w:rFonts w:ascii="Tahoma" w:hAnsi="Tahoma" w:cs="Tahoma"/>
      <w:sz w:val="16"/>
      <w:szCs w:val="16"/>
    </w:rPr>
  </w:style>
  <w:style w:type="character" w:customStyle="1" w:styleId="FooterChar">
    <w:name w:val="Footer Char"/>
    <w:link w:val="Footer"/>
    <w:uiPriority w:val="99"/>
    <w:rsid w:val="008C26B8"/>
    <w:rPr>
      <w:rFonts w:ascii="Arial" w:hAnsi="Arial"/>
      <w:sz w:val="24"/>
      <w:szCs w:val="24"/>
    </w:rPr>
  </w:style>
  <w:style w:type="paragraph" w:styleId="ListParagraph">
    <w:name w:val="List Paragraph"/>
    <w:basedOn w:val="Normal"/>
    <w:link w:val="ListParagraphChar"/>
    <w:uiPriority w:val="34"/>
    <w:qFormat/>
    <w:rsid w:val="002F463C"/>
    <w:pPr>
      <w:ind w:left="720"/>
      <w:contextualSpacing/>
    </w:pPr>
  </w:style>
  <w:style w:type="character" w:customStyle="1" w:styleId="HeaderChar">
    <w:name w:val="Header Char"/>
    <w:link w:val="Header"/>
    <w:uiPriority w:val="99"/>
    <w:rsid w:val="00EB1BA0"/>
    <w:rPr>
      <w:rFonts w:ascii="Arial" w:hAnsi="Arial"/>
      <w:sz w:val="24"/>
      <w:szCs w:val="24"/>
    </w:rPr>
  </w:style>
  <w:style w:type="paragraph" w:customStyle="1" w:styleId="PointsBullets">
    <w:name w:val="_PointsBullets"/>
    <w:basedOn w:val="Normal"/>
    <w:rsid w:val="006D46D5"/>
    <w:pPr>
      <w:numPr>
        <w:numId w:val="1"/>
      </w:numPr>
      <w:spacing w:after="120" w:line="260" w:lineRule="atLeast"/>
    </w:pPr>
    <w:rPr>
      <w:sz w:val="20"/>
      <w:szCs w:val="20"/>
      <w:lang w:eastAsia="en-US"/>
    </w:rPr>
  </w:style>
  <w:style w:type="paragraph" w:customStyle="1" w:styleId="Default0">
    <w:name w:val="Default"/>
    <w:rsid w:val="00B146F6"/>
    <w:pPr>
      <w:autoSpaceDE w:val="0"/>
      <w:autoSpaceDN w:val="0"/>
      <w:adjustRightInd w:val="0"/>
    </w:pPr>
    <w:rPr>
      <w:color w:val="000000"/>
    </w:rPr>
  </w:style>
  <w:style w:type="character" w:styleId="Hyperlink">
    <w:name w:val="Hyperlink"/>
    <w:uiPriority w:val="99"/>
    <w:unhideWhenUsed/>
    <w:rsid w:val="00646775"/>
    <w:rPr>
      <w:color w:val="0000FF"/>
      <w:u w:val="single"/>
    </w:rPr>
  </w:style>
  <w:style w:type="paragraph" w:styleId="Title">
    <w:name w:val="Title"/>
    <w:basedOn w:val="Normal"/>
    <w:next w:val="Normal"/>
    <w:link w:val="TitleChar"/>
    <w:qFormat/>
    <w:rsid w:val="00E347B2"/>
    <w:pPr>
      <w:jc w:val="center"/>
    </w:pPr>
    <w:rPr>
      <w:b/>
      <w:sz w:val="28"/>
      <w:szCs w:val="28"/>
    </w:rPr>
  </w:style>
  <w:style w:type="character" w:customStyle="1" w:styleId="TitleChar">
    <w:name w:val="Title Char"/>
    <w:link w:val="Title"/>
    <w:rsid w:val="00E347B2"/>
    <w:rPr>
      <w:rFonts w:ascii="Arial" w:hAnsi="Arial" w:cs="Arial"/>
      <w:b/>
      <w:sz w:val="28"/>
      <w:szCs w:val="28"/>
    </w:rPr>
  </w:style>
  <w:style w:type="character" w:customStyle="1" w:styleId="Heading1Char">
    <w:name w:val="Heading 1 Char"/>
    <w:link w:val="Heading1"/>
    <w:rsid w:val="005669AF"/>
    <w:rPr>
      <w:b/>
      <w:color w:val="auto"/>
      <w:sz w:val="28"/>
      <w:szCs w:val="22"/>
    </w:rPr>
  </w:style>
  <w:style w:type="paragraph" w:styleId="Subtitle">
    <w:name w:val="Subtitle"/>
    <w:basedOn w:val="Normal"/>
    <w:next w:val="Normal"/>
    <w:link w:val="SubtitleChar"/>
    <w:qFormat/>
    <w:rsid w:val="00E85368"/>
    <w:rPr>
      <w:b/>
      <w:sz w:val="22"/>
      <w:szCs w:val="22"/>
    </w:rPr>
  </w:style>
  <w:style w:type="character" w:customStyle="1" w:styleId="SubtitleChar">
    <w:name w:val="Subtitle Char"/>
    <w:link w:val="Subtitle"/>
    <w:rsid w:val="00E85368"/>
    <w:rPr>
      <w:rFonts w:ascii="Arial" w:hAnsi="Arial" w:cs="Arial"/>
      <w:b/>
      <w:sz w:val="22"/>
      <w:szCs w:val="22"/>
    </w:rPr>
  </w:style>
  <w:style w:type="paragraph" w:customStyle="1" w:styleId="yiv762758642msonormal">
    <w:name w:val="yiv762758642msonormal"/>
    <w:basedOn w:val="Normal"/>
    <w:rsid w:val="00114EEF"/>
    <w:pPr>
      <w:spacing w:before="100" w:beforeAutospacing="1" w:after="100" w:afterAutospacing="1"/>
    </w:pPr>
    <w:rPr>
      <w:rFonts w:ascii="Times New Roman" w:hAnsi="Times New Roman"/>
    </w:rPr>
  </w:style>
  <w:style w:type="paragraph" w:styleId="NormalWeb">
    <w:name w:val="Normal (Web)"/>
    <w:basedOn w:val="Normal"/>
    <w:uiPriority w:val="99"/>
    <w:rsid w:val="00C1520D"/>
    <w:rPr>
      <w:rFonts w:ascii="Times New Roman" w:hAnsi="Times New Roman"/>
    </w:rPr>
  </w:style>
  <w:style w:type="paragraph" w:styleId="TOCHeading">
    <w:name w:val="TOC Heading"/>
    <w:basedOn w:val="Heading1"/>
    <w:next w:val="Normal"/>
    <w:uiPriority w:val="39"/>
    <w:unhideWhenUsed/>
    <w:qFormat/>
    <w:rsid w:val="007D24B2"/>
    <w:pPr>
      <w:keepNext/>
      <w:keepLines/>
      <w:spacing w:before="48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OC2">
    <w:name w:val="toc 2"/>
    <w:basedOn w:val="Normal"/>
    <w:next w:val="Normal"/>
    <w:autoRedefine/>
    <w:uiPriority w:val="39"/>
    <w:unhideWhenUsed/>
    <w:qFormat/>
    <w:rsid w:val="00316E2C"/>
    <w:pPr>
      <w:tabs>
        <w:tab w:val="left" w:pos="880"/>
        <w:tab w:val="right" w:leader="dot" w:pos="10065"/>
      </w:tabs>
      <w:spacing w:line="276" w:lineRule="auto"/>
    </w:pPr>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unhideWhenUsed/>
    <w:qFormat/>
    <w:rsid w:val="00316E2C"/>
    <w:pPr>
      <w:tabs>
        <w:tab w:val="left" w:pos="440"/>
        <w:tab w:val="right" w:leader="dot" w:pos="10065"/>
      </w:tabs>
      <w:spacing w:line="276" w:lineRule="auto"/>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unhideWhenUsed/>
    <w:qFormat/>
    <w:rsid w:val="007D24B2"/>
    <w:pPr>
      <w:spacing w:after="100" w:line="276" w:lineRule="auto"/>
      <w:ind w:left="440"/>
    </w:pPr>
    <w:rPr>
      <w:rFonts w:asciiTheme="minorHAnsi" w:eastAsiaTheme="minorEastAsia" w:hAnsiTheme="minorHAnsi" w:cstheme="minorBidi"/>
      <w:sz w:val="22"/>
      <w:szCs w:val="22"/>
      <w:lang w:val="en-US" w:eastAsia="ja-JP"/>
    </w:rPr>
  </w:style>
  <w:style w:type="table" w:customStyle="1" w:styleId="TableGrid1">
    <w:name w:val="Table Grid1"/>
    <w:basedOn w:val="TableNormal"/>
    <w:next w:val="TableGrid"/>
    <w:uiPriority w:val="59"/>
    <w:rsid w:val="00C458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A3BBD"/>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DA3BBD"/>
    <w:rPr>
      <w:rFonts w:asciiTheme="minorHAnsi" w:eastAsiaTheme="minorEastAsia" w:hAnsiTheme="minorHAnsi" w:cstheme="minorBidi"/>
      <w:sz w:val="22"/>
      <w:szCs w:val="22"/>
      <w:lang w:val="en-US" w:eastAsia="ja-JP"/>
    </w:rPr>
  </w:style>
  <w:style w:type="character" w:customStyle="1" w:styleId="Heading2Char">
    <w:name w:val="Heading 2 Char"/>
    <w:basedOn w:val="DefaultParagraphFont"/>
    <w:link w:val="Heading2"/>
    <w:rsid w:val="00335C2C"/>
    <w:rPr>
      <w:rFonts w:eastAsiaTheme="majorEastAsia" w:cstheme="majorBidi"/>
      <w:b/>
      <w:bCs/>
      <w:color w:val="auto"/>
      <w:szCs w:val="26"/>
    </w:rPr>
  </w:style>
  <w:style w:type="character" w:customStyle="1" w:styleId="Heading3Char">
    <w:name w:val="Heading 3 Char"/>
    <w:basedOn w:val="DefaultParagraphFont"/>
    <w:link w:val="Heading3"/>
    <w:rsid w:val="00197EC7"/>
    <w:rPr>
      <w:rFonts w:asciiTheme="majorHAnsi" w:eastAsiaTheme="majorEastAsia" w:hAnsiTheme="majorHAnsi" w:cstheme="majorBidi"/>
      <w:b/>
      <w:bCs/>
    </w:rPr>
  </w:style>
  <w:style w:type="character" w:customStyle="1" w:styleId="Heading4Char">
    <w:name w:val="Heading 4 Char"/>
    <w:basedOn w:val="DefaultParagraphFont"/>
    <w:link w:val="Heading4"/>
    <w:rsid w:val="00197EC7"/>
    <w:rPr>
      <w:rFonts w:asciiTheme="majorHAnsi" w:eastAsiaTheme="majorEastAsia" w:hAnsiTheme="majorHAnsi" w:cstheme="majorBidi"/>
      <w:b/>
      <w:bCs/>
      <w:i/>
      <w:iCs/>
    </w:rPr>
  </w:style>
  <w:style w:type="character" w:customStyle="1" w:styleId="Heading5Char">
    <w:name w:val="Heading 5 Char"/>
    <w:basedOn w:val="DefaultParagraphFont"/>
    <w:link w:val="Heading5"/>
    <w:semiHidden/>
    <w:rsid w:val="00197EC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197EC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197EC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197EC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197EC7"/>
    <w:rPr>
      <w:rFonts w:asciiTheme="majorHAnsi" w:eastAsiaTheme="majorEastAsia" w:hAnsiTheme="majorHAnsi" w:cstheme="majorBidi"/>
      <w:i/>
      <w:iCs/>
      <w:color w:val="404040" w:themeColor="text1" w:themeTint="BF"/>
      <w:sz w:val="20"/>
      <w:szCs w:val="20"/>
    </w:rPr>
  </w:style>
  <w:style w:type="paragraph" w:customStyle="1" w:styleId="3CBD5A742C28424DA5172AD252E32316">
    <w:name w:val="3CBD5A742C28424DA5172AD252E32316"/>
    <w:rsid w:val="004067F2"/>
    <w:pPr>
      <w:spacing w:after="200" w:line="276" w:lineRule="auto"/>
    </w:pPr>
    <w:rPr>
      <w:rFonts w:asciiTheme="minorHAnsi" w:eastAsiaTheme="minorEastAsia" w:hAnsiTheme="minorHAnsi" w:cstheme="minorBidi"/>
      <w:color w:val="auto"/>
      <w:sz w:val="22"/>
      <w:szCs w:val="22"/>
      <w:lang w:val="en-US" w:eastAsia="ja-JP"/>
    </w:rPr>
  </w:style>
  <w:style w:type="paragraph" w:styleId="BodyText2">
    <w:name w:val="Body Text 2"/>
    <w:basedOn w:val="Normal"/>
    <w:link w:val="BodyText2Char"/>
    <w:rsid w:val="00280044"/>
    <w:pPr>
      <w:spacing w:after="120" w:line="480" w:lineRule="auto"/>
    </w:pPr>
  </w:style>
  <w:style w:type="character" w:customStyle="1" w:styleId="BodyText2Char">
    <w:name w:val="Body Text 2 Char"/>
    <w:basedOn w:val="DefaultParagraphFont"/>
    <w:link w:val="BodyText2"/>
    <w:rsid w:val="00280044"/>
  </w:style>
  <w:style w:type="paragraph" w:styleId="Revision">
    <w:name w:val="Revision"/>
    <w:hidden/>
    <w:uiPriority w:val="99"/>
    <w:semiHidden/>
    <w:rsid w:val="008B2623"/>
  </w:style>
  <w:style w:type="character" w:customStyle="1" w:styleId="ListParagraphChar">
    <w:name w:val="List Paragraph Char"/>
    <w:basedOn w:val="DefaultParagraphFont"/>
    <w:link w:val="ListParagraph"/>
    <w:uiPriority w:val="34"/>
    <w:rsid w:val="0093281B"/>
  </w:style>
  <w:style w:type="character" w:styleId="UnresolvedMention">
    <w:name w:val="Unresolved Mention"/>
    <w:basedOn w:val="DefaultParagraphFont"/>
    <w:uiPriority w:val="99"/>
    <w:semiHidden/>
    <w:unhideWhenUsed/>
    <w:rsid w:val="007917CD"/>
    <w:rPr>
      <w:color w:val="605E5C"/>
      <w:shd w:val="clear" w:color="auto" w:fill="E1DFDD"/>
    </w:rPr>
  </w:style>
  <w:style w:type="character" w:customStyle="1" w:styleId="text-blue">
    <w:name w:val="text-blue"/>
    <w:basedOn w:val="DefaultParagraphFont"/>
    <w:rsid w:val="00313C4E"/>
  </w:style>
  <w:style w:type="character" w:customStyle="1" w:styleId="cf01">
    <w:name w:val="cf01"/>
    <w:basedOn w:val="DefaultParagraphFont"/>
    <w:rsid w:val="000D3FF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09411">
      <w:bodyDiv w:val="1"/>
      <w:marLeft w:val="0"/>
      <w:marRight w:val="0"/>
      <w:marTop w:val="0"/>
      <w:marBottom w:val="0"/>
      <w:divBdr>
        <w:top w:val="none" w:sz="0" w:space="0" w:color="auto"/>
        <w:left w:val="none" w:sz="0" w:space="0" w:color="auto"/>
        <w:bottom w:val="none" w:sz="0" w:space="0" w:color="auto"/>
        <w:right w:val="none" w:sz="0" w:space="0" w:color="auto"/>
      </w:divBdr>
    </w:div>
    <w:div w:id="239293604">
      <w:bodyDiv w:val="1"/>
      <w:marLeft w:val="0"/>
      <w:marRight w:val="0"/>
      <w:marTop w:val="0"/>
      <w:marBottom w:val="0"/>
      <w:divBdr>
        <w:top w:val="none" w:sz="0" w:space="0" w:color="auto"/>
        <w:left w:val="none" w:sz="0" w:space="0" w:color="auto"/>
        <w:bottom w:val="none" w:sz="0" w:space="0" w:color="auto"/>
        <w:right w:val="none" w:sz="0" w:space="0" w:color="auto"/>
      </w:divBdr>
    </w:div>
    <w:div w:id="390926117">
      <w:bodyDiv w:val="1"/>
      <w:marLeft w:val="0"/>
      <w:marRight w:val="0"/>
      <w:marTop w:val="0"/>
      <w:marBottom w:val="0"/>
      <w:divBdr>
        <w:top w:val="none" w:sz="0" w:space="0" w:color="auto"/>
        <w:left w:val="none" w:sz="0" w:space="0" w:color="auto"/>
        <w:bottom w:val="none" w:sz="0" w:space="0" w:color="auto"/>
        <w:right w:val="none" w:sz="0" w:space="0" w:color="auto"/>
      </w:divBdr>
    </w:div>
    <w:div w:id="645403297">
      <w:bodyDiv w:val="1"/>
      <w:marLeft w:val="0"/>
      <w:marRight w:val="0"/>
      <w:marTop w:val="0"/>
      <w:marBottom w:val="0"/>
      <w:divBdr>
        <w:top w:val="none" w:sz="0" w:space="0" w:color="auto"/>
        <w:left w:val="none" w:sz="0" w:space="0" w:color="auto"/>
        <w:bottom w:val="none" w:sz="0" w:space="0" w:color="auto"/>
        <w:right w:val="none" w:sz="0" w:space="0" w:color="auto"/>
      </w:divBdr>
    </w:div>
    <w:div w:id="676007437">
      <w:bodyDiv w:val="1"/>
      <w:marLeft w:val="0"/>
      <w:marRight w:val="0"/>
      <w:marTop w:val="0"/>
      <w:marBottom w:val="0"/>
      <w:divBdr>
        <w:top w:val="none" w:sz="0" w:space="0" w:color="auto"/>
        <w:left w:val="none" w:sz="0" w:space="0" w:color="auto"/>
        <w:bottom w:val="none" w:sz="0" w:space="0" w:color="auto"/>
        <w:right w:val="none" w:sz="0" w:space="0" w:color="auto"/>
      </w:divBdr>
    </w:div>
    <w:div w:id="848065361">
      <w:bodyDiv w:val="1"/>
      <w:marLeft w:val="0"/>
      <w:marRight w:val="0"/>
      <w:marTop w:val="0"/>
      <w:marBottom w:val="0"/>
      <w:divBdr>
        <w:top w:val="none" w:sz="0" w:space="0" w:color="auto"/>
        <w:left w:val="none" w:sz="0" w:space="0" w:color="auto"/>
        <w:bottom w:val="none" w:sz="0" w:space="0" w:color="auto"/>
        <w:right w:val="none" w:sz="0" w:space="0" w:color="auto"/>
      </w:divBdr>
    </w:div>
    <w:div w:id="873350176">
      <w:bodyDiv w:val="1"/>
      <w:marLeft w:val="0"/>
      <w:marRight w:val="0"/>
      <w:marTop w:val="0"/>
      <w:marBottom w:val="0"/>
      <w:divBdr>
        <w:top w:val="none" w:sz="0" w:space="0" w:color="auto"/>
        <w:left w:val="none" w:sz="0" w:space="0" w:color="auto"/>
        <w:bottom w:val="none" w:sz="0" w:space="0" w:color="auto"/>
        <w:right w:val="none" w:sz="0" w:space="0" w:color="auto"/>
      </w:divBdr>
    </w:div>
    <w:div w:id="1059472287">
      <w:bodyDiv w:val="1"/>
      <w:marLeft w:val="0"/>
      <w:marRight w:val="0"/>
      <w:marTop w:val="0"/>
      <w:marBottom w:val="0"/>
      <w:divBdr>
        <w:top w:val="none" w:sz="0" w:space="0" w:color="auto"/>
        <w:left w:val="none" w:sz="0" w:space="0" w:color="auto"/>
        <w:bottom w:val="none" w:sz="0" w:space="0" w:color="auto"/>
        <w:right w:val="none" w:sz="0" w:space="0" w:color="auto"/>
      </w:divBdr>
    </w:div>
    <w:div w:id="1128814683">
      <w:bodyDiv w:val="1"/>
      <w:marLeft w:val="0"/>
      <w:marRight w:val="0"/>
      <w:marTop w:val="0"/>
      <w:marBottom w:val="0"/>
      <w:divBdr>
        <w:top w:val="none" w:sz="0" w:space="0" w:color="auto"/>
        <w:left w:val="none" w:sz="0" w:space="0" w:color="auto"/>
        <w:bottom w:val="none" w:sz="0" w:space="0" w:color="auto"/>
        <w:right w:val="none" w:sz="0" w:space="0" w:color="auto"/>
      </w:divBdr>
    </w:div>
    <w:div w:id="1233856400">
      <w:bodyDiv w:val="1"/>
      <w:marLeft w:val="0"/>
      <w:marRight w:val="0"/>
      <w:marTop w:val="0"/>
      <w:marBottom w:val="0"/>
      <w:divBdr>
        <w:top w:val="none" w:sz="0" w:space="0" w:color="auto"/>
        <w:left w:val="none" w:sz="0" w:space="0" w:color="auto"/>
        <w:bottom w:val="none" w:sz="0" w:space="0" w:color="auto"/>
        <w:right w:val="none" w:sz="0" w:space="0" w:color="auto"/>
      </w:divBdr>
    </w:div>
    <w:div w:id="1280457585">
      <w:bodyDiv w:val="1"/>
      <w:marLeft w:val="0"/>
      <w:marRight w:val="0"/>
      <w:marTop w:val="0"/>
      <w:marBottom w:val="0"/>
      <w:divBdr>
        <w:top w:val="none" w:sz="0" w:space="0" w:color="auto"/>
        <w:left w:val="none" w:sz="0" w:space="0" w:color="auto"/>
        <w:bottom w:val="none" w:sz="0" w:space="0" w:color="auto"/>
        <w:right w:val="none" w:sz="0" w:space="0" w:color="auto"/>
      </w:divBdr>
    </w:div>
    <w:div w:id="1352145262">
      <w:bodyDiv w:val="1"/>
      <w:marLeft w:val="0"/>
      <w:marRight w:val="0"/>
      <w:marTop w:val="0"/>
      <w:marBottom w:val="0"/>
      <w:divBdr>
        <w:top w:val="none" w:sz="0" w:space="0" w:color="auto"/>
        <w:left w:val="none" w:sz="0" w:space="0" w:color="auto"/>
        <w:bottom w:val="none" w:sz="0" w:space="0" w:color="auto"/>
        <w:right w:val="none" w:sz="0" w:space="0" w:color="auto"/>
      </w:divBdr>
    </w:div>
    <w:div w:id="1408073347">
      <w:bodyDiv w:val="1"/>
      <w:marLeft w:val="0"/>
      <w:marRight w:val="0"/>
      <w:marTop w:val="0"/>
      <w:marBottom w:val="0"/>
      <w:divBdr>
        <w:top w:val="none" w:sz="0" w:space="0" w:color="auto"/>
        <w:left w:val="none" w:sz="0" w:space="0" w:color="auto"/>
        <w:bottom w:val="none" w:sz="0" w:space="0" w:color="auto"/>
        <w:right w:val="none" w:sz="0" w:space="0" w:color="auto"/>
      </w:divBdr>
    </w:div>
    <w:div w:id="1424839525">
      <w:bodyDiv w:val="1"/>
      <w:marLeft w:val="0"/>
      <w:marRight w:val="0"/>
      <w:marTop w:val="0"/>
      <w:marBottom w:val="0"/>
      <w:divBdr>
        <w:top w:val="none" w:sz="0" w:space="0" w:color="auto"/>
        <w:left w:val="none" w:sz="0" w:space="0" w:color="auto"/>
        <w:bottom w:val="none" w:sz="0" w:space="0" w:color="auto"/>
        <w:right w:val="none" w:sz="0" w:space="0" w:color="auto"/>
      </w:divBdr>
    </w:div>
    <w:div w:id="1428037434">
      <w:bodyDiv w:val="1"/>
      <w:marLeft w:val="0"/>
      <w:marRight w:val="0"/>
      <w:marTop w:val="0"/>
      <w:marBottom w:val="0"/>
      <w:divBdr>
        <w:top w:val="none" w:sz="0" w:space="0" w:color="auto"/>
        <w:left w:val="none" w:sz="0" w:space="0" w:color="auto"/>
        <w:bottom w:val="none" w:sz="0" w:space="0" w:color="auto"/>
        <w:right w:val="none" w:sz="0" w:space="0" w:color="auto"/>
      </w:divBdr>
    </w:div>
    <w:div w:id="1602375389">
      <w:bodyDiv w:val="1"/>
      <w:marLeft w:val="0"/>
      <w:marRight w:val="0"/>
      <w:marTop w:val="0"/>
      <w:marBottom w:val="0"/>
      <w:divBdr>
        <w:top w:val="none" w:sz="0" w:space="0" w:color="auto"/>
        <w:left w:val="none" w:sz="0" w:space="0" w:color="auto"/>
        <w:bottom w:val="none" w:sz="0" w:space="0" w:color="auto"/>
        <w:right w:val="none" w:sz="0" w:space="0" w:color="auto"/>
      </w:divBdr>
    </w:div>
    <w:div w:id="1871842695">
      <w:bodyDiv w:val="1"/>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688142728">
              <w:marLeft w:val="0"/>
              <w:marRight w:val="0"/>
              <w:marTop w:val="0"/>
              <w:marBottom w:val="0"/>
              <w:divBdr>
                <w:top w:val="none" w:sz="0" w:space="0" w:color="auto"/>
                <w:left w:val="none" w:sz="0" w:space="0" w:color="auto"/>
                <w:bottom w:val="none" w:sz="0" w:space="0" w:color="auto"/>
                <w:right w:val="none" w:sz="0" w:space="0" w:color="auto"/>
              </w:divBdr>
              <w:divsChild>
                <w:div w:id="26588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1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confed.org/Publications/Pages/Prioritysettingfunding.aspx" TargetMode="External"/><Relationship Id="rId18" Type="http://schemas.openxmlformats.org/officeDocument/2006/relationships/hyperlink" Target="https://www.gov.uk/government/publications/the-operating-%20framework-for-the-nhs-in-england-2012-13"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ebarchive.nationalarchives.gov.uk/+/www.dh.gov.uk/en/Consultations/Respon%20sestoconsultations/DH_096428" TargetMode="External"/><Relationship Id="rId2" Type="http://schemas.openxmlformats.org/officeDocument/2006/relationships/customXml" Target="../customXml/item2.xml"/><Relationship Id="rId16" Type="http://schemas.openxmlformats.org/officeDocument/2006/relationships/hyperlink" Target="http://www.npc.co.uk/local_decision_making/resources/handbook_complet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the-nhs-constitution-for-englan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12/2996/ma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2B7A97C4A6D048B9AD25DF6661F454" ma:contentTypeVersion="9" ma:contentTypeDescription="Create a new document." ma:contentTypeScope="" ma:versionID="93486d716969dc5cb810c88f66d7f854">
  <xsd:schema xmlns:xsd="http://www.w3.org/2001/XMLSchema" xmlns:xs="http://www.w3.org/2001/XMLSchema" xmlns:p="http://schemas.microsoft.com/office/2006/metadata/properties" xmlns:ns1="http://schemas.microsoft.com/sharepoint/v3" xmlns:ns2="ae9f3c50-a181-4d85-bc25-26de5d9cdf8e" targetNamespace="http://schemas.microsoft.com/office/2006/metadata/properties" ma:root="true" ma:fieldsID="288b1f24580085cc41cdc6833a0b477f" ns1:_="" ns2:_="">
    <xsd:import namespace="http://schemas.microsoft.com/sharepoint/v3"/>
    <xsd:import namespace="ae9f3c50-a181-4d85-bc25-26de5d9cdf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f3c50-a181-4d85-bc25-26de5d9cd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6070A52-3ED6-419A-9C15-474F78E7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9f3c50-a181-4d85-bc25-26de5d9cd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DABDE-F6EC-4681-9E0B-A99F304B8FE9}">
  <ds:schemaRefs>
    <ds:schemaRef ds:uri="http://schemas.microsoft.com/sharepoint/v3/contenttype/forms"/>
  </ds:schemaRefs>
</ds:datastoreItem>
</file>

<file path=customXml/itemProps3.xml><?xml version="1.0" encoding="utf-8"?>
<ds:datastoreItem xmlns:ds="http://schemas.openxmlformats.org/officeDocument/2006/customXml" ds:itemID="{05A24A36-0B11-4B97-B27A-6A3AFBCC7717}">
  <ds:schemaRefs>
    <ds:schemaRef ds:uri="http://schemas.openxmlformats.org/officeDocument/2006/bibliography"/>
  </ds:schemaRefs>
</ds:datastoreItem>
</file>

<file path=customXml/itemProps4.xml><?xml version="1.0" encoding="utf-8"?>
<ds:datastoreItem xmlns:ds="http://schemas.openxmlformats.org/officeDocument/2006/customXml" ds:itemID="{DAE93A46-2C65-4D37-A28E-3D9C264049E3}">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32</TotalTime>
  <Pages>1</Pages>
  <Words>5632</Words>
  <Characters>32108</Characters>
  <Application>Microsoft Office Word</Application>
  <DocSecurity>0</DocSecurity>
  <Lines>267</Lines>
  <Paragraphs>75</Paragraphs>
  <ScaleCrop>false</ScaleCrop>
  <Company>HERHIS</Company>
  <LinksUpToDate>false</LinksUpToDate>
  <CharactersWithSpaces>37665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smalese</dc:creator>
  <cp:keywords/>
  <cp:lastModifiedBy>BLACK, Rebecca (NHS HUMBER AND NORTH YORKSHIRE ICB - 02Y)</cp:lastModifiedBy>
  <cp:revision>27</cp:revision>
  <cp:lastPrinted>2015-11-09T03:32:00Z</cp:lastPrinted>
  <dcterms:created xsi:type="dcterms:W3CDTF">2026-02-11T11:48:00Z</dcterms:created>
  <dcterms:modified xsi:type="dcterms:W3CDTF">2026-03-10T13:55:00Z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0x010100C02B7A97C4A6D048B9AD25DF6661F454</vt:lpwstr>
  </property>
  <property fmtid="{D5CDD505-2E9C-101B-9397-08002B2CF9AE}" pid="3" name="MediaServiceImageTags">
    <vt:lpwstr/>
  </property>
  <property fmtid="{D5CDD505-2E9C-101B-9397-08002B2CF9AE}" pid="4" name="Order">
    <vt:r8>40410600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