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328" w:type="dxa"/>
        <w:jc w:val="center"/>
        <w:tblLook w:val="04A0" w:firstRow="1" w:lastRow="0" w:firstColumn="1" w:lastColumn="0" w:noHBand="0" w:noVBand="1"/>
      </w:tblPr>
      <w:tblGrid>
        <w:gridCol w:w="2122"/>
        <w:gridCol w:w="10206"/>
      </w:tblGrid>
      <w:tr w:rsidR="00F61973" w:rsidRPr="00E4754C" w14:paraId="1349E5A3" w14:textId="77777777" w:rsidTr="00B122DD">
        <w:trPr>
          <w:trHeight w:val="557"/>
          <w:jc w:val="center"/>
        </w:trPr>
        <w:tc>
          <w:tcPr>
            <w:tcW w:w="2122" w:type="dxa"/>
            <w:vAlign w:val="center"/>
          </w:tcPr>
          <w:p w14:paraId="7E280C1D" w14:textId="77777777" w:rsidR="00F61973" w:rsidRPr="00E4754C" w:rsidRDefault="00F61973" w:rsidP="00B122DD">
            <w:pPr>
              <w:rPr>
                <w:rFonts w:ascii="Arial" w:hAnsi="Arial" w:cs="Arial"/>
                <w:b/>
                <w:bCs/>
              </w:rPr>
            </w:pPr>
            <w:r>
              <w:rPr>
                <w:rFonts w:ascii="Arial" w:hAnsi="Arial" w:cs="Arial"/>
                <w:b/>
                <w:bCs/>
              </w:rPr>
              <w:t>Intervention:</w:t>
            </w:r>
          </w:p>
        </w:tc>
        <w:tc>
          <w:tcPr>
            <w:tcW w:w="10206" w:type="dxa"/>
            <w:vAlign w:val="center"/>
          </w:tcPr>
          <w:p w14:paraId="6165A3CD" w14:textId="77777777" w:rsidR="00F61973" w:rsidRPr="00E4754C" w:rsidRDefault="00F61973" w:rsidP="00B122DD">
            <w:pPr>
              <w:rPr>
                <w:rFonts w:ascii="Arial" w:hAnsi="Arial" w:cs="Arial"/>
                <w:b/>
                <w:bCs/>
              </w:rPr>
            </w:pPr>
            <w:r w:rsidRPr="00E4754C">
              <w:rPr>
                <w:rFonts w:ascii="Arial" w:hAnsi="Arial" w:cs="Arial"/>
                <w:b/>
                <w:bCs/>
              </w:rPr>
              <w:t>Notes:</w:t>
            </w:r>
          </w:p>
        </w:tc>
      </w:tr>
      <w:tr w:rsidR="00F61973" w:rsidRPr="00E4754C" w14:paraId="73E0DEB3" w14:textId="77777777" w:rsidTr="00B122DD">
        <w:trPr>
          <w:trHeight w:val="879"/>
          <w:jc w:val="center"/>
        </w:trPr>
        <w:tc>
          <w:tcPr>
            <w:tcW w:w="2122" w:type="dxa"/>
            <w:vAlign w:val="center"/>
          </w:tcPr>
          <w:p w14:paraId="14FB62DA" w14:textId="77777777" w:rsidR="00F61973" w:rsidRPr="00E4754C" w:rsidRDefault="00F61973" w:rsidP="00B122DD">
            <w:pPr>
              <w:rPr>
                <w:rFonts w:ascii="Arial" w:hAnsi="Arial" w:cs="Arial"/>
                <w:b/>
                <w:bCs/>
              </w:rPr>
            </w:pPr>
            <w:r>
              <w:rPr>
                <w:rFonts w:ascii="Arial" w:hAnsi="Arial" w:cs="Arial"/>
                <w:b/>
                <w:bCs/>
              </w:rPr>
              <w:t>Diabetic foot Emergency</w:t>
            </w:r>
          </w:p>
          <w:p w14:paraId="0B0C075C" w14:textId="77777777" w:rsidR="00F61973" w:rsidRPr="00E4754C" w:rsidRDefault="00F61973" w:rsidP="00B122DD">
            <w:pPr>
              <w:rPr>
                <w:rFonts w:ascii="Arial" w:hAnsi="Arial" w:cs="Arial"/>
                <w:b/>
                <w:bCs/>
              </w:rPr>
            </w:pPr>
          </w:p>
        </w:tc>
        <w:tc>
          <w:tcPr>
            <w:tcW w:w="10206" w:type="dxa"/>
          </w:tcPr>
          <w:p w14:paraId="678316CE" w14:textId="77777777" w:rsidR="00F61973" w:rsidRPr="00C973C7" w:rsidRDefault="00F61973" w:rsidP="00B122DD">
            <w:pPr>
              <w:numPr>
                <w:ilvl w:val="0"/>
                <w:numId w:val="1"/>
              </w:numPr>
              <w:shd w:val="clear" w:color="auto" w:fill="FEFEFE"/>
              <w:spacing w:before="100" w:beforeAutospacing="1" w:after="100" w:afterAutospacing="1" w:line="300" w:lineRule="atLeast"/>
              <w:ind w:left="1095"/>
              <w:rPr>
                <w:rFonts w:ascii="Helvetica" w:eastAsia="Times New Roman" w:hAnsi="Helvetica" w:cs="Helvetica"/>
                <w:color w:val="000000"/>
                <w:sz w:val="21"/>
                <w:szCs w:val="21"/>
                <w:lang w:eastAsia="en-GB"/>
              </w:rPr>
            </w:pPr>
            <w:r w:rsidRPr="00C973C7">
              <w:rPr>
                <w:rFonts w:ascii="Helvetica" w:eastAsia="Times New Roman" w:hAnsi="Helvetica" w:cs="Helvetica"/>
                <w:b/>
                <w:bCs/>
                <w:color w:val="000000"/>
                <w:sz w:val="21"/>
                <w:szCs w:val="21"/>
                <w:lang w:eastAsia="en-GB"/>
              </w:rPr>
              <w:t>Ulceration.</w:t>
            </w:r>
            <w:r w:rsidRPr="00C973C7">
              <w:rPr>
                <w:rFonts w:ascii="Helvetica" w:eastAsia="Times New Roman" w:hAnsi="Helvetica" w:cs="Helvetica"/>
                <w:color w:val="000000"/>
                <w:sz w:val="21"/>
                <w:szCs w:val="21"/>
                <w:lang w:eastAsia="en-GB"/>
              </w:rPr>
              <w:t> All ulcers should be referred to the MD</w:t>
            </w:r>
            <w:r>
              <w:rPr>
                <w:rFonts w:ascii="Helvetica" w:eastAsia="Times New Roman" w:hAnsi="Helvetica" w:cs="Helvetica"/>
                <w:color w:val="000000"/>
                <w:sz w:val="21"/>
                <w:szCs w:val="21"/>
                <w:lang w:eastAsia="en-GB"/>
              </w:rPr>
              <w:t>F</w:t>
            </w:r>
            <w:r w:rsidRPr="00C973C7">
              <w:rPr>
                <w:rFonts w:ascii="Helvetica" w:eastAsia="Times New Roman" w:hAnsi="Helvetica" w:cs="Helvetica"/>
                <w:color w:val="000000"/>
                <w:sz w:val="21"/>
                <w:szCs w:val="21"/>
                <w:lang w:eastAsia="en-GB"/>
              </w:rPr>
              <w:t>T within 24 hours</w:t>
            </w:r>
          </w:p>
          <w:p w14:paraId="2B0EDA7E" w14:textId="77777777" w:rsidR="00F61973" w:rsidRPr="00CF12F6" w:rsidRDefault="00F61973" w:rsidP="00B122DD">
            <w:pPr>
              <w:numPr>
                <w:ilvl w:val="0"/>
                <w:numId w:val="1"/>
              </w:numPr>
              <w:shd w:val="clear" w:color="auto" w:fill="FEFEFE"/>
              <w:spacing w:before="100" w:beforeAutospacing="1" w:after="100" w:afterAutospacing="1" w:line="300" w:lineRule="atLeast"/>
              <w:ind w:left="1095"/>
              <w:rPr>
                <w:rFonts w:ascii="Helvetica" w:eastAsia="Times New Roman" w:hAnsi="Helvetica" w:cs="Helvetica"/>
                <w:color w:val="000000"/>
                <w:sz w:val="21"/>
                <w:szCs w:val="21"/>
                <w:lang w:eastAsia="en-GB"/>
              </w:rPr>
            </w:pPr>
            <w:r w:rsidRPr="00C973C7">
              <w:rPr>
                <w:rFonts w:ascii="Helvetica" w:eastAsia="Times New Roman" w:hAnsi="Helvetica" w:cs="Helvetica"/>
                <w:b/>
                <w:bCs/>
                <w:color w:val="000000"/>
                <w:sz w:val="21"/>
                <w:szCs w:val="21"/>
                <w:lang w:eastAsia="en-GB"/>
              </w:rPr>
              <w:t>Acute Charcot foot.</w:t>
            </w:r>
            <w:r w:rsidRPr="00C973C7">
              <w:rPr>
                <w:rFonts w:ascii="Helvetica" w:eastAsia="Times New Roman" w:hAnsi="Helvetica" w:cs="Helvetica"/>
                <w:color w:val="000000"/>
                <w:sz w:val="21"/>
                <w:szCs w:val="21"/>
                <w:lang w:eastAsia="en-GB"/>
              </w:rPr>
              <w:t> People with diabetes and neuropathy who develop unexplained inflammation of the foot should be assumed to have an acute Charcot foot and referred</w:t>
            </w:r>
            <w:r>
              <w:rPr>
                <w:rFonts w:ascii="Helvetica" w:eastAsia="Times New Roman" w:hAnsi="Helvetica" w:cs="Helvetica"/>
                <w:color w:val="000000"/>
                <w:sz w:val="21"/>
                <w:szCs w:val="21"/>
                <w:lang w:eastAsia="en-GB"/>
              </w:rPr>
              <w:t xml:space="preserve"> </w:t>
            </w:r>
            <w:r w:rsidRPr="00C973C7">
              <w:rPr>
                <w:rFonts w:ascii="Helvetica" w:eastAsia="Times New Roman" w:hAnsi="Helvetica" w:cs="Helvetica"/>
                <w:color w:val="000000"/>
                <w:sz w:val="21"/>
                <w:szCs w:val="21"/>
                <w:lang w:eastAsia="en-GB"/>
              </w:rPr>
              <w:t>for urgent assessment by the MD</w:t>
            </w:r>
            <w:r>
              <w:rPr>
                <w:rFonts w:ascii="Helvetica" w:eastAsia="Times New Roman" w:hAnsi="Helvetica" w:cs="Helvetica"/>
                <w:color w:val="000000"/>
                <w:sz w:val="21"/>
                <w:szCs w:val="21"/>
                <w:lang w:eastAsia="en-GB"/>
              </w:rPr>
              <w:t>F</w:t>
            </w:r>
            <w:r w:rsidRPr="00C973C7">
              <w:rPr>
                <w:rFonts w:ascii="Helvetica" w:eastAsia="Times New Roman" w:hAnsi="Helvetica" w:cs="Helvetica"/>
                <w:color w:val="000000"/>
                <w:sz w:val="21"/>
                <w:szCs w:val="21"/>
                <w:lang w:eastAsia="en-GB"/>
              </w:rPr>
              <w:t xml:space="preserve">T. They should be told not to take weight on the foot until they have been </w:t>
            </w:r>
            <w:r>
              <w:rPr>
                <w:rFonts w:ascii="Helvetica" w:eastAsia="Times New Roman" w:hAnsi="Helvetica" w:cs="Helvetica"/>
                <w:color w:val="000000"/>
                <w:sz w:val="21"/>
                <w:szCs w:val="21"/>
                <w:lang w:eastAsia="en-GB"/>
              </w:rPr>
              <w:t>assessed.</w:t>
            </w:r>
          </w:p>
        </w:tc>
      </w:tr>
      <w:tr w:rsidR="00F61973" w:rsidRPr="00E4754C" w14:paraId="6C1012B2" w14:textId="77777777" w:rsidTr="00B122DD">
        <w:trPr>
          <w:trHeight w:val="879"/>
          <w:jc w:val="center"/>
        </w:trPr>
        <w:tc>
          <w:tcPr>
            <w:tcW w:w="2122" w:type="dxa"/>
            <w:vAlign w:val="center"/>
          </w:tcPr>
          <w:p w14:paraId="14CC6B72" w14:textId="77777777" w:rsidR="00F61973" w:rsidRPr="00E4754C" w:rsidRDefault="00F61973" w:rsidP="00B122DD">
            <w:pPr>
              <w:rPr>
                <w:rFonts w:ascii="Arial" w:hAnsi="Arial" w:cs="Arial"/>
                <w:b/>
                <w:bCs/>
              </w:rPr>
            </w:pPr>
            <w:r>
              <w:rPr>
                <w:rFonts w:ascii="Arial" w:hAnsi="Arial" w:cs="Arial"/>
                <w:b/>
                <w:bCs/>
              </w:rPr>
              <w:t>Foot protection services for those classified as high Risk of Limb Loss</w:t>
            </w:r>
          </w:p>
        </w:tc>
        <w:tc>
          <w:tcPr>
            <w:tcW w:w="10206" w:type="dxa"/>
          </w:tcPr>
          <w:p w14:paraId="0142B5FB" w14:textId="77777777" w:rsidR="00F61973" w:rsidRDefault="00F61973" w:rsidP="00B122DD">
            <w:pPr>
              <w:numPr>
                <w:ilvl w:val="0"/>
                <w:numId w:val="1"/>
              </w:numPr>
              <w:shd w:val="clear" w:color="auto" w:fill="FEFEFE"/>
              <w:spacing w:before="100" w:beforeAutospacing="1" w:after="100" w:afterAutospacing="1" w:line="300" w:lineRule="atLeast"/>
              <w:ind w:left="1095"/>
              <w:rPr>
                <w:rFonts w:ascii="Helvetica" w:eastAsia="Times New Roman" w:hAnsi="Helvetica" w:cs="Helvetica"/>
                <w:color w:val="000000"/>
                <w:sz w:val="21"/>
                <w:szCs w:val="21"/>
                <w:lang w:eastAsia="en-GB"/>
              </w:rPr>
            </w:pPr>
            <w:r>
              <w:rPr>
                <w:rFonts w:ascii="Helvetica" w:eastAsia="Times New Roman" w:hAnsi="Helvetica" w:cs="Helvetica"/>
                <w:color w:val="000000"/>
                <w:sz w:val="21"/>
                <w:szCs w:val="21"/>
                <w:lang w:eastAsia="en-GB"/>
              </w:rPr>
              <w:t xml:space="preserve">Patients should be encouraged to manage their own foot health needs when safe to do so, including maintaining good skin and nail care. Please direct patients to CHCP Podiatry web page for advice and guidance on good Diabetic foot care. Patients with neuropathy should be advised to </w:t>
            </w:r>
            <w:proofErr w:type="spellStart"/>
            <w:r>
              <w:rPr>
                <w:rFonts w:ascii="Helvetica" w:eastAsia="Times New Roman" w:hAnsi="Helvetica" w:cs="Helvetica"/>
                <w:color w:val="000000"/>
                <w:sz w:val="21"/>
                <w:szCs w:val="21"/>
                <w:lang w:eastAsia="en-GB"/>
              </w:rPr>
              <w:t>self care</w:t>
            </w:r>
            <w:proofErr w:type="spellEnd"/>
            <w:r>
              <w:rPr>
                <w:rFonts w:ascii="Helvetica" w:eastAsia="Times New Roman" w:hAnsi="Helvetica" w:cs="Helvetica"/>
                <w:color w:val="000000"/>
                <w:sz w:val="21"/>
                <w:szCs w:val="21"/>
                <w:lang w:eastAsia="en-GB"/>
              </w:rPr>
              <w:t xml:space="preserve"> with caution, check feet regularly for wounds or trauma and discouraged from walking barefoot. They should receive annual foot checks within their Diabetes review, provided with advice on signs and symptoms of a Diabetic foot emergency and how to access urgent podiatry via </w:t>
            </w:r>
            <w:proofErr w:type="spellStart"/>
            <w:r>
              <w:rPr>
                <w:rFonts w:ascii="Helvetica" w:eastAsia="Times New Roman" w:hAnsi="Helvetica" w:cs="Helvetica"/>
                <w:color w:val="000000"/>
                <w:sz w:val="21"/>
                <w:szCs w:val="21"/>
                <w:lang w:eastAsia="en-GB"/>
              </w:rPr>
              <w:t>tel</w:t>
            </w:r>
            <w:proofErr w:type="spellEnd"/>
            <w:r>
              <w:rPr>
                <w:rFonts w:ascii="Helvetica" w:eastAsia="Times New Roman" w:hAnsi="Helvetica" w:cs="Helvetica"/>
                <w:color w:val="000000"/>
                <w:sz w:val="21"/>
                <w:szCs w:val="21"/>
                <w:lang w:eastAsia="en-GB"/>
              </w:rPr>
              <w:t>: 247111 or CHCP Podiatry website</w:t>
            </w:r>
          </w:p>
          <w:p w14:paraId="774C0F2F" w14:textId="77777777" w:rsidR="00F61973" w:rsidRPr="0007658D" w:rsidRDefault="00F61973" w:rsidP="00B122DD">
            <w:pPr>
              <w:numPr>
                <w:ilvl w:val="0"/>
                <w:numId w:val="1"/>
              </w:numPr>
              <w:shd w:val="clear" w:color="auto" w:fill="FEFEFE"/>
              <w:spacing w:before="100" w:beforeAutospacing="1" w:after="100" w:afterAutospacing="1" w:line="300" w:lineRule="atLeast"/>
              <w:ind w:left="1095"/>
              <w:rPr>
                <w:rFonts w:ascii="Helvetica" w:eastAsia="Times New Roman" w:hAnsi="Helvetica" w:cs="Helvetica"/>
                <w:color w:val="000000"/>
                <w:sz w:val="21"/>
                <w:szCs w:val="21"/>
                <w:lang w:eastAsia="en-GB"/>
              </w:rPr>
            </w:pPr>
            <w:r w:rsidRPr="00C973C7">
              <w:rPr>
                <w:rFonts w:ascii="Helvetica" w:eastAsia="Times New Roman" w:hAnsi="Helvetica" w:cs="Helvetica"/>
                <w:b/>
                <w:bCs/>
                <w:color w:val="000000"/>
                <w:sz w:val="21"/>
                <w:szCs w:val="21"/>
                <w:lang w:eastAsia="en-GB"/>
              </w:rPr>
              <w:t>Peripheral arterial disease without ulceration.</w:t>
            </w:r>
            <w:r w:rsidRPr="00C973C7">
              <w:rPr>
                <w:rFonts w:ascii="Helvetica" w:eastAsia="Times New Roman" w:hAnsi="Helvetica" w:cs="Helvetica"/>
                <w:color w:val="000000"/>
                <w:sz w:val="21"/>
                <w:szCs w:val="21"/>
                <w:lang w:eastAsia="en-GB"/>
              </w:rPr>
              <w:t> P</w:t>
            </w:r>
            <w:r>
              <w:rPr>
                <w:rFonts w:ascii="Helvetica" w:eastAsia="Times New Roman" w:hAnsi="Helvetica" w:cs="Helvetica"/>
                <w:color w:val="000000"/>
                <w:sz w:val="21"/>
                <w:szCs w:val="21"/>
                <w:lang w:eastAsia="en-GB"/>
              </w:rPr>
              <w:t>atients with no foot wound and</w:t>
            </w:r>
            <w:r w:rsidRPr="00C973C7">
              <w:rPr>
                <w:rFonts w:ascii="Helvetica" w:eastAsia="Times New Roman" w:hAnsi="Helvetica" w:cs="Helvetica"/>
                <w:color w:val="000000"/>
                <w:sz w:val="21"/>
                <w:szCs w:val="21"/>
                <w:lang w:eastAsia="en-GB"/>
              </w:rPr>
              <w:t xml:space="preserve"> symptomatic peripheral arterial disease should be referred </w:t>
            </w:r>
            <w:r>
              <w:rPr>
                <w:rFonts w:ascii="Helvetica" w:eastAsia="Times New Roman" w:hAnsi="Helvetica" w:cs="Helvetica"/>
                <w:color w:val="000000"/>
                <w:sz w:val="21"/>
                <w:szCs w:val="21"/>
                <w:lang w:eastAsia="en-GB"/>
              </w:rPr>
              <w:t>via ERS to vascular services for triage and management.</w:t>
            </w:r>
          </w:p>
          <w:p w14:paraId="3BEF7656" w14:textId="77777777" w:rsidR="00F61973" w:rsidRPr="00F67266" w:rsidRDefault="00F61973" w:rsidP="00B122DD">
            <w:pPr>
              <w:numPr>
                <w:ilvl w:val="0"/>
                <w:numId w:val="1"/>
              </w:numPr>
              <w:shd w:val="clear" w:color="auto" w:fill="FEFEFE"/>
              <w:spacing w:before="100" w:beforeAutospacing="1" w:after="100" w:afterAutospacing="1" w:line="300" w:lineRule="atLeast"/>
              <w:ind w:left="1095"/>
              <w:rPr>
                <w:rFonts w:ascii="Helvetica" w:eastAsia="Times New Roman" w:hAnsi="Helvetica" w:cs="Helvetica"/>
                <w:color w:val="000000"/>
                <w:sz w:val="21"/>
                <w:szCs w:val="21"/>
                <w:lang w:eastAsia="en-GB"/>
              </w:rPr>
            </w:pPr>
            <w:r w:rsidRPr="00C973C7">
              <w:rPr>
                <w:rFonts w:ascii="Helvetica" w:eastAsia="Times New Roman" w:hAnsi="Helvetica" w:cs="Helvetica"/>
                <w:b/>
                <w:bCs/>
                <w:color w:val="000000"/>
                <w:sz w:val="21"/>
                <w:szCs w:val="21"/>
                <w:lang w:eastAsia="en-GB"/>
              </w:rPr>
              <w:t>Painful peripheral neuropathy.</w:t>
            </w:r>
            <w:r w:rsidRPr="00C973C7">
              <w:rPr>
                <w:rFonts w:ascii="Helvetica" w:eastAsia="Times New Roman" w:hAnsi="Helvetica" w:cs="Helvetica"/>
                <w:color w:val="000000"/>
                <w:sz w:val="21"/>
                <w:szCs w:val="21"/>
                <w:lang w:eastAsia="en-GB"/>
              </w:rPr>
              <w:t> Guidelines for the management of painful neuropathy have been published </w:t>
            </w:r>
            <w:hyperlink r:id="rId5" w:history="1">
              <w:r w:rsidRPr="00C973C7">
                <w:rPr>
                  <w:rFonts w:ascii="Helvetica" w:eastAsia="Times New Roman" w:hAnsi="Helvetica" w:cs="Helvetica"/>
                  <w:color w:val="00AAFF"/>
                  <w:sz w:val="21"/>
                  <w:szCs w:val="21"/>
                  <w:lang w:eastAsia="en-GB"/>
                </w:rPr>
                <w:t>(NICE CG173 'Neuropathic pain in adults: pharmacological management in non-specialist settings'</w:t>
              </w:r>
            </w:hyperlink>
            <w:r w:rsidRPr="00C973C7">
              <w:rPr>
                <w:rFonts w:ascii="Helvetica" w:eastAsia="Times New Roman" w:hAnsi="Helvetica" w:cs="Helvetica"/>
                <w:color w:val="000000"/>
                <w:sz w:val="21"/>
                <w:szCs w:val="21"/>
                <w:lang w:eastAsia="en-GB"/>
              </w:rPr>
              <w:t> and SIGN 116 '</w:t>
            </w:r>
            <w:r w:rsidRPr="00C973C7">
              <w:rPr>
                <w:rFonts w:ascii="Helvetica" w:eastAsia="Times New Roman" w:hAnsi="Helvetica" w:cs="Helvetica"/>
                <w:i/>
                <w:iCs/>
                <w:color w:val="000000"/>
                <w:sz w:val="21"/>
                <w:szCs w:val="21"/>
                <w:lang w:eastAsia="en-GB"/>
              </w:rPr>
              <w:t>Management of diabetes</w:t>
            </w:r>
            <w:r w:rsidRPr="00C973C7">
              <w:rPr>
                <w:rFonts w:ascii="Helvetica" w:eastAsia="Times New Roman" w:hAnsi="Helvetica" w:cs="Helvetica"/>
                <w:color w:val="000000"/>
                <w:sz w:val="21"/>
                <w:szCs w:val="21"/>
                <w:lang w:eastAsia="en-GB"/>
              </w:rPr>
              <w:t xml:space="preserve">') and this can be supervised in general practice, provided that the GP is confident that the neuropathy is the cause of the pain. </w:t>
            </w:r>
          </w:p>
          <w:p w14:paraId="6C9B94C9" w14:textId="77777777" w:rsidR="00F61973" w:rsidRPr="00C973C7" w:rsidRDefault="00F61973" w:rsidP="00B122DD">
            <w:pPr>
              <w:numPr>
                <w:ilvl w:val="0"/>
                <w:numId w:val="1"/>
              </w:numPr>
              <w:shd w:val="clear" w:color="auto" w:fill="FEFEFE"/>
              <w:spacing w:before="100" w:beforeAutospacing="1" w:after="100" w:afterAutospacing="1" w:line="300" w:lineRule="atLeast"/>
              <w:ind w:left="1095"/>
              <w:rPr>
                <w:rFonts w:ascii="Helvetica" w:eastAsia="Times New Roman" w:hAnsi="Helvetica" w:cs="Helvetica"/>
                <w:color w:val="000000"/>
                <w:sz w:val="21"/>
                <w:szCs w:val="21"/>
                <w:lang w:eastAsia="en-GB"/>
              </w:rPr>
            </w:pPr>
            <w:r w:rsidRPr="00C973C7">
              <w:rPr>
                <w:rFonts w:ascii="Helvetica" w:eastAsia="Times New Roman" w:hAnsi="Helvetica" w:cs="Helvetica"/>
                <w:b/>
                <w:bCs/>
                <w:color w:val="000000"/>
                <w:sz w:val="21"/>
                <w:szCs w:val="21"/>
                <w:lang w:eastAsia="en-GB"/>
              </w:rPr>
              <w:t>Disease of the foot unrelated to diabetes.</w:t>
            </w:r>
            <w:r w:rsidRPr="00C973C7">
              <w:rPr>
                <w:rFonts w:ascii="Helvetica" w:eastAsia="Times New Roman" w:hAnsi="Helvetica" w:cs="Helvetica"/>
                <w:color w:val="000000"/>
                <w:sz w:val="21"/>
                <w:szCs w:val="21"/>
                <w:lang w:eastAsia="en-GB"/>
              </w:rPr>
              <w:t xml:space="preserve"> Symptoms or signs of other diseases </w:t>
            </w:r>
            <w:r>
              <w:rPr>
                <w:rFonts w:ascii="Helvetica" w:eastAsia="Times New Roman" w:hAnsi="Helvetica" w:cs="Helvetica"/>
                <w:color w:val="000000"/>
                <w:sz w:val="21"/>
                <w:szCs w:val="21"/>
                <w:lang w:eastAsia="en-GB"/>
              </w:rPr>
              <w:t xml:space="preserve">including dermatological conditions, venous insufficiency, inflammatory arthritis </w:t>
            </w:r>
            <w:r w:rsidRPr="00C973C7">
              <w:rPr>
                <w:rFonts w:ascii="Helvetica" w:eastAsia="Times New Roman" w:hAnsi="Helvetica" w:cs="Helvetica"/>
                <w:color w:val="000000"/>
                <w:sz w:val="21"/>
                <w:szCs w:val="21"/>
                <w:lang w:eastAsia="en-GB"/>
              </w:rPr>
              <w:t>should be managed appropriately</w:t>
            </w:r>
            <w:r>
              <w:rPr>
                <w:rFonts w:ascii="Helvetica" w:eastAsia="Times New Roman" w:hAnsi="Helvetica" w:cs="Helvetica"/>
                <w:color w:val="000000"/>
                <w:sz w:val="21"/>
                <w:szCs w:val="21"/>
                <w:lang w:eastAsia="en-GB"/>
              </w:rPr>
              <w:t xml:space="preserve"> within primary care and referred to podiatry only if they are at high risk of ulceration. </w:t>
            </w:r>
          </w:p>
          <w:p w14:paraId="27A7D12A" w14:textId="77777777" w:rsidR="00F61973" w:rsidRPr="00E4754C" w:rsidRDefault="00F61973" w:rsidP="00B122DD">
            <w:pPr>
              <w:rPr>
                <w:rFonts w:ascii="Arial" w:hAnsi="Arial" w:cs="Arial"/>
              </w:rPr>
            </w:pPr>
          </w:p>
        </w:tc>
      </w:tr>
      <w:tr w:rsidR="00F61973" w:rsidRPr="00E4754C" w14:paraId="2555898D" w14:textId="77777777" w:rsidTr="00B122DD">
        <w:trPr>
          <w:trHeight w:val="879"/>
          <w:jc w:val="center"/>
        </w:trPr>
        <w:tc>
          <w:tcPr>
            <w:tcW w:w="2122" w:type="dxa"/>
            <w:vAlign w:val="center"/>
          </w:tcPr>
          <w:p w14:paraId="3FAA19B8" w14:textId="77777777" w:rsidR="00F61973" w:rsidRDefault="00F61973" w:rsidP="00B122DD">
            <w:pPr>
              <w:rPr>
                <w:rFonts w:ascii="Arial" w:hAnsi="Arial" w:cs="Arial"/>
                <w:b/>
                <w:bCs/>
              </w:rPr>
            </w:pPr>
            <w:r>
              <w:rPr>
                <w:rFonts w:ascii="Arial" w:hAnsi="Arial" w:cs="Arial"/>
                <w:b/>
                <w:bCs/>
              </w:rPr>
              <w:lastRenderedPageBreak/>
              <w:t xml:space="preserve">Foot Ulceration LLP </w:t>
            </w:r>
            <w:proofErr w:type="gramStart"/>
            <w:r>
              <w:rPr>
                <w:rFonts w:ascii="Arial" w:hAnsi="Arial" w:cs="Arial"/>
                <w:b/>
                <w:bCs/>
              </w:rPr>
              <w:t>( non</w:t>
            </w:r>
            <w:proofErr w:type="gramEnd"/>
            <w:r>
              <w:rPr>
                <w:rFonts w:ascii="Arial" w:hAnsi="Arial" w:cs="Arial"/>
                <w:b/>
                <w:bCs/>
              </w:rPr>
              <w:t xml:space="preserve">-diabetics) </w:t>
            </w:r>
          </w:p>
        </w:tc>
        <w:tc>
          <w:tcPr>
            <w:tcW w:w="10206" w:type="dxa"/>
          </w:tcPr>
          <w:p w14:paraId="7BA986C6" w14:textId="77777777" w:rsidR="00F61973" w:rsidRPr="00E4754C" w:rsidRDefault="00F61973" w:rsidP="00B122DD">
            <w:pPr>
              <w:spacing w:before="120"/>
              <w:rPr>
                <w:rFonts w:ascii="Arial" w:hAnsi="Arial" w:cs="Arial"/>
                <w:color w:val="FF0000"/>
              </w:rPr>
            </w:pPr>
            <w:r>
              <w:rPr>
                <w:rFonts w:ascii="Arial" w:hAnsi="Arial" w:cs="Arial"/>
                <w:color w:val="FF0000"/>
              </w:rPr>
              <w:t>P</w:t>
            </w:r>
            <w:r w:rsidRPr="00E4754C">
              <w:rPr>
                <w:rFonts w:ascii="Arial" w:hAnsi="Arial" w:cs="Arial"/>
                <w:color w:val="FF0000"/>
              </w:rPr>
              <w:t xml:space="preserve">atients with a </w:t>
            </w:r>
            <w:r>
              <w:rPr>
                <w:rFonts w:ascii="Arial" w:hAnsi="Arial" w:cs="Arial"/>
                <w:color w:val="FF0000"/>
              </w:rPr>
              <w:t xml:space="preserve">New </w:t>
            </w:r>
            <w:r w:rsidRPr="00E4754C">
              <w:rPr>
                <w:rFonts w:ascii="Arial" w:hAnsi="Arial" w:cs="Arial"/>
                <w:color w:val="FF0000"/>
              </w:rPr>
              <w:t>wound, ulcer or break to the skin on the foot, below the ankle (malleolus) please make referral to the PODIATRY SERVICE and request a Lower Limb Pathway Assessment</w:t>
            </w:r>
          </w:p>
          <w:p w14:paraId="31A45F74" w14:textId="77777777" w:rsidR="00F61973" w:rsidRPr="00E4754C" w:rsidRDefault="00F61973" w:rsidP="00B122DD">
            <w:pPr>
              <w:rPr>
                <w:rFonts w:ascii="Arial" w:hAnsi="Arial" w:cs="Arial"/>
              </w:rPr>
            </w:pPr>
            <w:r w:rsidRPr="00E4754C">
              <w:rPr>
                <w:rFonts w:ascii="Arial" w:hAnsi="Arial" w:cs="Arial"/>
              </w:rPr>
              <w:t xml:space="preserve">If available, please upload recent wound image or send with referral if </w:t>
            </w:r>
            <w:proofErr w:type="gramStart"/>
            <w:r w:rsidRPr="00E4754C">
              <w:rPr>
                <w:rFonts w:ascii="Arial" w:hAnsi="Arial" w:cs="Arial"/>
              </w:rPr>
              <w:t>possible</w:t>
            </w:r>
            <w:proofErr w:type="gramEnd"/>
            <w:r>
              <w:rPr>
                <w:rFonts w:ascii="Arial" w:hAnsi="Arial" w:cs="Arial"/>
              </w:rPr>
              <w:t xml:space="preserve"> to assist with triage.</w:t>
            </w:r>
          </w:p>
          <w:p w14:paraId="09EEB2FF" w14:textId="77777777" w:rsidR="00F61973" w:rsidRDefault="00F61973" w:rsidP="00B122DD">
            <w:pPr>
              <w:shd w:val="clear" w:color="auto" w:fill="FEFEFE"/>
              <w:spacing w:before="100" w:beforeAutospacing="1" w:after="100" w:afterAutospacing="1" w:line="300" w:lineRule="atLeast"/>
              <w:rPr>
                <w:rFonts w:ascii="Helvetica" w:eastAsia="Times New Roman" w:hAnsi="Helvetica" w:cs="Helvetica"/>
                <w:color w:val="000000"/>
                <w:sz w:val="21"/>
                <w:szCs w:val="21"/>
                <w:lang w:eastAsia="en-GB"/>
              </w:rPr>
            </w:pPr>
            <w:r>
              <w:rPr>
                <w:rFonts w:ascii="Helvetica" w:eastAsia="Times New Roman" w:hAnsi="Helvetica" w:cs="Helvetica"/>
                <w:color w:val="000000"/>
                <w:sz w:val="21"/>
                <w:szCs w:val="21"/>
                <w:lang w:eastAsia="en-GB"/>
              </w:rPr>
              <w:t xml:space="preserve">Underlying medical conditions such as Gout should be managed in primary care. </w:t>
            </w:r>
          </w:p>
        </w:tc>
      </w:tr>
      <w:tr w:rsidR="00F61973" w:rsidRPr="00E4754C" w14:paraId="7AAB39D9" w14:textId="77777777" w:rsidTr="00B122DD">
        <w:trPr>
          <w:trHeight w:val="879"/>
          <w:jc w:val="center"/>
        </w:trPr>
        <w:tc>
          <w:tcPr>
            <w:tcW w:w="2122" w:type="dxa"/>
            <w:vAlign w:val="center"/>
          </w:tcPr>
          <w:p w14:paraId="5D8AA071" w14:textId="77777777" w:rsidR="00F61973" w:rsidRDefault="00F61973" w:rsidP="00B122DD">
            <w:pPr>
              <w:rPr>
                <w:rFonts w:ascii="Arial" w:hAnsi="Arial" w:cs="Arial"/>
                <w:b/>
                <w:bCs/>
              </w:rPr>
            </w:pPr>
            <w:r>
              <w:rPr>
                <w:rFonts w:ascii="Arial" w:hAnsi="Arial" w:cs="Arial"/>
                <w:b/>
                <w:bCs/>
              </w:rPr>
              <w:t xml:space="preserve">Nail Surgery </w:t>
            </w:r>
          </w:p>
        </w:tc>
        <w:tc>
          <w:tcPr>
            <w:tcW w:w="10206" w:type="dxa"/>
          </w:tcPr>
          <w:p w14:paraId="2A39EE10" w14:textId="77777777" w:rsidR="00F61973" w:rsidRDefault="00F61973" w:rsidP="00B122DD">
            <w:pPr>
              <w:spacing w:before="120"/>
              <w:rPr>
                <w:rFonts w:ascii="Arial" w:hAnsi="Arial" w:cs="Arial"/>
              </w:rPr>
            </w:pPr>
            <w:r>
              <w:rPr>
                <w:rFonts w:ascii="Arial" w:hAnsi="Arial" w:cs="Arial"/>
              </w:rPr>
              <w:t xml:space="preserve">Patients with painful and or infected nails suitable for minor surgery within a community clinic. Referring clinicians should advise patients Podiatry perform nail avulsion with </w:t>
            </w:r>
            <w:proofErr w:type="spellStart"/>
            <w:r>
              <w:rPr>
                <w:rFonts w:ascii="Arial" w:hAnsi="Arial" w:cs="Arial"/>
              </w:rPr>
              <w:t>phenolisation</w:t>
            </w:r>
            <w:proofErr w:type="spellEnd"/>
            <w:r>
              <w:rPr>
                <w:rFonts w:ascii="Arial" w:hAnsi="Arial" w:cs="Arial"/>
              </w:rPr>
              <w:t xml:space="preserve"> under local anaesthetic. Suitable patients must be 12 years or and willing to have surgical removal of part or </w:t>
            </w:r>
            <w:proofErr w:type="gramStart"/>
            <w:r>
              <w:rPr>
                <w:rFonts w:ascii="Arial" w:hAnsi="Arial" w:cs="Arial"/>
              </w:rPr>
              <w:t>all of</w:t>
            </w:r>
            <w:proofErr w:type="gramEnd"/>
            <w:r>
              <w:rPr>
                <w:rFonts w:ascii="Arial" w:hAnsi="Arial" w:cs="Arial"/>
              </w:rPr>
              <w:t xml:space="preserve"> the nail. Average healing times are 8 – 12 weeks. </w:t>
            </w:r>
          </w:p>
          <w:p w14:paraId="0B6E9B94" w14:textId="77777777" w:rsidR="00F61973" w:rsidRDefault="00F61973" w:rsidP="00B122DD">
            <w:pPr>
              <w:spacing w:before="120"/>
              <w:rPr>
                <w:rFonts w:ascii="Arial" w:hAnsi="Arial" w:cs="Arial"/>
              </w:rPr>
            </w:pPr>
            <w:r>
              <w:rPr>
                <w:rFonts w:ascii="Arial" w:hAnsi="Arial" w:cs="Arial"/>
              </w:rPr>
              <w:t>Exclusions:</w:t>
            </w:r>
          </w:p>
          <w:p w14:paraId="2D534659" w14:textId="77777777" w:rsidR="00F61973" w:rsidRDefault="00F61973" w:rsidP="00B122DD">
            <w:pPr>
              <w:spacing w:before="120"/>
              <w:rPr>
                <w:rFonts w:ascii="Arial" w:hAnsi="Arial" w:cs="Arial"/>
              </w:rPr>
            </w:pPr>
            <w:r>
              <w:rPr>
                <w:rFonts w:ascii="Arial" w:hAnsi="Arial" w:cs="Arial"/>
              </w:rPr>
              <w:t>Patients with known previous adverse reaction to local anaesthetic</w:t>
            </w:r>
          </w:p>
          <w:p w14:paraId="6EBE860B" w14:textId="77777777" w:rsidR="00F61973" w:rsidRDefault="00F61973" w:rsidP="00B122DD">
            <w:pPr>
              <w:spacing w:before="120"/>
              <w:rPr>
                <w:rFonts w:ascii="Arial" w:hAnsi="Arial" w:cs="Arial"/>
              </w:rPr>
            </w:pPr>
            <w:r>
              <w:rPr>
                <w:rFonts w:ascii="Arial" w:hAnsi="Arial" w:cs="Arial"/>
              </w:rPr>
              <w:t xml:space="preserve">Patients with peripheral arterial disease </w:t>
            </w:r>
          </w:p>
          <w:p w14:paraId="1E29394D" w14:textId="77777777" w:rsidR="00F61973" w:rsidRDefault="00F61973" w:rsidP="00B122DD">
            <w:pPr>
              <w:spacing w:before="120"/>
              <w:rPr>
                <w:rFonts w:ascii="Arial" w:hAnsi="Arial" w:cs="Arial"/>
              </w:rPr>
            </w:pPr>
            <w:r>
              <w:rPr>
                <w:rFonts w:ascii="Arial" w:hAnsi="Arial" w:cs="Arial"/>
              </w:rPr>
              <w:t xml:space="preserve">Patients with unstable Hypertension </w:t>
            </w:r>
          </w:p>
          <w:p w14:paraId="2E8808A1" w14:textId="77777777" w:rsidR="00F61973" w:rsidRDefault="00F61973" w:rsidP="00B122DD">
            <w:pPr>
              <w:spacing w:before="120"/>
              <w:rPr>
                <w:rFonts w:ascii="Arial" w:hAnsi="Arial" w:cs="Arial"/>
              </w:rPr>
            </w:pPr>
            <w:r>
              <w:rPr>
                <w:rFonts w:ascii="Arial" w:hAnsi="Arial" w:cs="Arial"/>
              </w:rPr>
              <w:t>Patients with HbA1c over 75mmol/mol – Blood Glucose levels should be optimised prior to considering surgery to improve healing potential.</w:t>
            </w:r>
          </w:p>
          <w:p w14:paraId="33BFD12B" w14:textId="77777777" w:rsidR="00F61973" w:rsidRDefault="00F61973" w:rsidP="00B122DD">
            <w:pPr>
              <w:spacing w:before="120"/>
              <w:rPr>
                <w:rFonts w:ascii="Arial" w:hAnsi="Arial" w:cs="Arial"/>
              </w:rPr>
            </w:pPr>
            <w:r>
              <w:rPr>
                <w:rFonts w:ascii="Arial" w:hAnsi="Arial" w:cs="Arial"/>
              </w:rPr>
              <w:t>Patients on immunosuppressants unless agreed with consultant and medications optimised</w:t>
            </w:r>
          </w:p>
          <w:p w14:paraId="60C83FCD" w14:textId="77777777" w:rsidR="00F61973" w:rsidRDefault="00F61973" w:rsidP="00B122DD">
            <w:pPr>
              <w:spacing w:before="120"/>
              <w:rPr>
                <w:rFonts w:ascii="Arial" w:hAnsi="Arial" w:cs="Arial"/>
              </w:rPr>
            </w:pPr>
            <w:r>
              <w:rPr>
                <w:rFonts w:ascii="Arial" w:hAnsi="Arial" w:cs="Arial"/>
              </w:rPr>
              <w:t>under 12 years due to licensing of local anaesthetic.</w:t>
            </w:r>
          </w:p>
          <w:p w14:paraId="7D448BDD" w14:textId="77777777" w:rsidR="00F61973" w:rsidRDefault="00F61973" w:rsidP="00B122DD">
            <w:pPr>
              <w:spacing w:before="120"/>
              <w:rPr>
                <w:rFonts w:ascii="Arial" w:hAnsi="Arial" w:cs="Arial"/>
              </w:rPr>
            </w:pPr>
            <w:r>
              <w:rPr>
                <w:rFonts w:ascii="Arial" w:hAnsi="Arial" w:cs="Arial"/>
              </w:rPr>
              <w:t xml:space="preserve">Requests purely for cosmetic purposes. </w:t>
            </w:r>
          </w:p>
          <w:p w14:paraId="49B688CF" w14:textId="77777777" w:rsidR="00F61973" w:rsidRPr="00145B9B" w:rsidRDefault="00F61973" w:rsidP="00B122DD">
            <w:pPr>
              <w:spacing w:before="120"/>
              <w:rPr>
                <w:rFonts w:ascii="Arial" w:hAnsi="Arial" w:cs="Arial"/>
              </w:rPr>
            </w:pPr>
            <w:r>
              <w:rPr>
                <w:rFonts w:ascii="Arial" w:hAnsi="Arial" w:cs="Arial"/>
              </w:rPr>
              <w:t>Patients requiring sedation due to needle phobias etc.</w:t>
            </w:r>
          </w:p>
        </w:tc>
      </w:tr>
      <w:tr w:rsidR="00F61973" w:rsidRPr="00E4754C" w14:paraId="7014BF33" w14:textId="77777777" w:rsidTr="00B122DD">
        <w:trPr>
          <w:trHeight w:val="879"/>
          <w:jc w:val="center"/>
        </w:trPr>
        <w:tc>
          <w:tcPr>
            <w:tcW w:w="2122" w:type="dxa"/>
            <w:vAlign w:val="center"/>
          </w:tcPr>
          <w:p w14:paraId="15D73312" w14:textId="77777777" w:rsidR="00F61973" w:rsidRDefault="00F61973" w:rsidP="00B122DD">
            <w:pPr>
              <w:rPr>
                <w:rFonts w:ascii="Arial" w:hAnsi="Arial" w:cs="Arial"/>
                <w:b/>
                <w:bCs/>
              </w:rPr>
            </w:pPr>
            <w:r>
              <w:rPr>
                <w:rFonts w:ascii="Arial" w:hAnsi="Arial" w:cs="Arial"/>
                <w:b/>
                <w:bCs/>
              </w:rPr>
              <w:t xml:space="preserve">MSK </w:t>
            </w:r>
          </w:p>
        </w:tc>
        <w:tc>
          <w:tcPr>
            <w:tcW w:w="10206" w:type="dxa"/>
          </w:tcPr>
          <w:p w14:paraId="7BCEE91D" w14:textId="77777777" w:rsidR="00F61973" w:rsidRDefault="00F61973" w:rsidP="00B122DD">
            <w:pPr>
              <w:rPr>
                <w:rFonts w:ascii="Arial" w:hAnsi="Arial" w:cs="Arial"/>
              </w:rPr>
            </w:pPr>
            <w:r>
              <w:rPr>
                <w:rFonts w:ascii="Arial" w:hAnsi="Arial" w:cs="Arial"/>
              </w:rPr>
              <w:t>Painful musculoskeletal foot conditions only, p</w:t>
            </w:r>
            <w:r w:rsidRPr="004D02C1">
              <w:rPr>
                <w:rFonts w:ascii="Arial" w:hAnsi="Arial" w:cs="Arial"/>
              </w:rPr>
              <w:t>lease avoid referring simple MSK problems with a duration of symptoms less than 3-6 weeks. The vast majority will resolve with simple advice, analgesia and exercises that can be provided in primary care</w:t>
            </w:r>
            <w:r>
              <w:rPr>
                <w:rFonts w:ascii="Arial" w:hAnsi="Arial" w:cs="Arial"/>
              </w:rPr>
              <w:t>. Alternatively</w:t>
            </w:r>
            <w:r w:rsidRPr="004D02C1">
              <w:rPr>
                <w:rFonts w:ascii="Arial" w:hAnsi="Arial" w:cs="Arial"/>
              </w:rPr>
              <w:t xml:space="preserve"> defer</w:t>
            </w:r>
            <w:r>
              <w:rPr>
                <w:rFonts w:ascii="Arial" w:hAnsi="Arial" w:cs="Arial"/>
              </w:rPr>
              <w:t xml:space="preserve"> the </w:t>
            </w:r>
            <w:r w:rsidRPr="004D02C1">
              <w:rPr>
                <w:rFonts w:ascii="Arial" w:hAnsi="Arial" w:cs="Arial"/>
              </w:rPr>
              <w:t xml:space="preserve">patient to </w:t>
            </w:r>
            <w:r>
              <w:rPr>
                <w:rFonts w:ascii="Arial" w:hAnsi="Arial" w:cs="Arial"/>
              </w:rPr>
              <w:t xml:space="preserve">CHCP MSK </w:t>
            </w:r>
            <w:r>
              <w:rPr>
                <w:rFonts w:ascii="Arial" w:hAnsi="Arial" w:cs="Arial"/>
              </w:rPr>
              <w:lastRenderedPageBreak/>
              <w:t xml:space="preserve">services </w:t>
            </w:r>
            <w:r w:rsidRPr="004D02C1">
              <w:rPr>
                <w:rFonts w:ascii="Arial" w:hAnsi="Arial" w:cs="Arial"/>
              </w:rPr>
              <w:t>website where clear advice, resources and rehab for MSK conditions can be found (</w:t>
            </w:r>
            <w:hyperlink r:id="rId6" w:history="1">
              <w:r w:rsidRPr="004D02C1">
                <w:rPr>
                  <w:rStyle w:val="Hyperlink"/>
                  <w:rFonts w:ascii="Arial" w:hAnsi="Arial" w:cs="Arial"/>
                </w:rPr>
                <w:t>www.chcpmsk.org.uk</w:t>
              </w:r>
            </w:hyperlink>
            <w:r w:rsidRPr="004D02C1">
              <w:rPr>
                <w:rFonts w:ascii="Arial" w:hAnsi="Arial" w:cs="Arial"/>
              </w:rPr>
              <w:t>)</w:t>
            </w:r>
            <w:r>
              <w:rPr>
                <w:rFonts w:ascii="Arial" w:hAnsi="Arial" w:cs="Arial"/>
              </w:rPr>
              <w:t>.</w:t>
            </w:r>
          </w:p>
          <w:p w14:paraId="4BD20AD9" w14:textId="77777777" w:rsidR="00F61973" w:rsidRDefault="00F61973" w:rsidP="00B122DD">
            <w:pPr>
              <w:spacing w:before="120"/>
              <w:rPr>
                <w:rFonts w:ascii="Arial" w:hAnsi="Arial" w:cs="Arial"/>
              </w:rPr>
            </w:pPr>
          </w:p>
          <w:p w14:paraId="53F716D9" w14:textId="77777777" w:rsidR="00F61973" w:rsidRDefault="00F61973" w:rsidP="00B122DD">
            <w:pPr>
              <w:spacing w:before="120"/>
              <w:rPr>
                <w:rFonts w:ascii="Arial" w:hAnsi="Arial" w:cs="Arial"/>
              </w:rPr>
            </w:pPr>
            <w:r>
              <w:rPr>
                <w:rFonts w:ascii="Arial" w:hAnsi="Arial" w:cs="Arial"/>
              </w:rPr>
              <w:t xml:space="preserve">Exclusions </w:t>
            </w:r>
          </w:p>
          <w:p w14:paraId="493471E0" w14:textId="77777777" w:rsidR="00F61973" w:rsidRDefault="00F61973" w:rsidP="00B122DD">
            <w:pPr>
              <w:spacing w:before="120"/>
              <w:rPr>
                <w:rFonts w:ascii="Arial" w:hAnsi="Arial" w:cs="Arial"/>
                <w:b/>
                <w:bCs/>
              </w:rPr>
            </w:pPr>
            <w:r>
              <w:rPr>
                <w:rFonts w:ascii="Arial" w:hAnsi="Arial" w:cs="Arial"/>
              </w:rPr>
              <w:t xml:space="preserve">Referrals for therapeutic footwear, ankle or foot splints these should be directed to the </w:t>
            </w:r>
            <w:r w:rsidRPr="0018010F">
              <w:rPr>
                <w:rFonts w:ascii="Arial" w:hAnsi="Arial" w:cs="Arial"/>
                <w:b/>
                <w:bCs/>
              </w:rPr>
              <w:t>orthotics service</w:t>
            </w:r>
            <w:r>
              <w:rPr>
                <w:rFonts w:ascii="Arial" w:hAnsi="Arial" w:cs="Arial"/>
                <w:b/>
                <w:bCs/>
              </w:rPr>
              <w:t>.</w:t>
            </w:r>
          </w:p>
          <w:p w14:paraId="7C017F8E" w14:textId="77777777" w:rsidR="00F61973" w:rsidRDefault="00F61973" w:rsidP="00B122DD">
            <w:pPr>
              <w:spacing w:before="120"/>
              <w:rPr>
                <w:rFonts w:ascii="Arial" w:hAnsi="Arial" w:cs="Arial"/>
              </w:rPr>
            </w:pPr>
          </w:p>
          <w:p w14:paraId="60875AFA" w14:textId="77777777" w:rsidR="00F61973" w:rsidRPr="00825FFC" w:rsidRDefault="00F61973" w:rsidP="00B122DD">
            <w:pPr>
              <w:rPr>
                <w:rFonts w:ascii="Arial" w:eastAsia="Calibri" w:hAnsi="Arial" w:cs="Arial"/>
                <w:color w:val="0563C1"/>
                <w:u w:val="single"/>
              </w:rPr>
            </w:pPr>
            <w:r>
              <w:rPr>
                <w:rFonts w:ascii="Arial" w:hAnsi="Arial" w:cs="Arial"/>
              </w:rPr>
              <w:t xml:space="preserve">Children under 5 years of age should be managed by the </w:t>
            </w:r>
            <w:r w:rsidRPr="0018010F">
              <w:rPr>
                <w:rFonts w:ascii="Arial" w:hAnsi="Arial" w:cs="Arial"/>
                <w:b/>
                <w:bCs/>
              </w:rPr>
              <w:t xml:space="preserve">Humber </w:t>
            </w:r>
            <w:proofErr w:type="spellStart"/>
            <w:r w:rsidRPr="0018010F">
              <w:rPr>
                <w:rFonts w:ascii="Arial" w:hAnsi="Arial" w:cs="Arial"/>
                <w:b/>
                <w:bCs/>
              </w:rPr>
              <w:t>childrens</w:t>
            </w:r>
            <w:proofErr w:type="spellEnd"/>
            <w:r w:rsidRPr="0018010F">
              <w:rPr>
                <w:rFonts w:ascii="Arial" w:hAnsi="Arial" w:cs="Arial"/>
                <w:b/>
                <w:bCs/>
              </w:rPr>
              <w:t xml:space="preserve"> centre or specialist paediatric services. </w:t>
            </w:r>
            <w:hyperlink r:id="rId7" w:history="1">
              <w:r w:rsidRPr="00825FFC">
                <w:rPr>
                  <w:rFonts w:ascii="Arial" w:eastAsia="Calibri" w:hAnsi="Arial" w:cs="Arial"/>
                  <w:color w:val="0563C1"/>
                  <w:u w:val="single"/>
                </w:rPr>
                <w:t>hnf-tr.childrensphysio@nhs.net</w:t>
              </w:r>
            </w:hyperlink>
          </w:p>
          <w:p w14:paraId="43BA1458" w14:textId="77777777" w:rsidR="00F61973" w:rsidRPr="00870555" w:rsidRDefault="00F61973" w:rsidP="00B122DD">
            <w:pPr>
              <w:rPr>
                <w:rFonts w:ascii="Arial" w:eastAsia="Calibri" w:hAnsi="Arial" w:cs="Arial"/>
              </w:rPr>
            </w:pPr>
            <w:r w:rsidRPr="00B00382">
              <w:rPr>
                <w:rFonts w:ascii="Arial" w:hAnsi="Arial" w:cs="Arial"/>
              </w:rPr>
              <w:t>Toe walkers or in-toeing gait as diagnosis, Developmental Coordination Disorder, Developmental Delay</w:t>
            </w:r>
            <w:r>
              <w:rPr>
                <w:rFonts w:ascii="Arial" w:hAnsi="Arial" w:cs="Arial"/>
              </w:rPr>
              <w:t>. These referrals should be directed to</w:t>
            </w:r>
            <w:r w:rsidRPr="004D02C1">
              <w:t xml:space="preserve"> </w:t>
            </w:r>
            <w:r w:rsidRPr="00870555">
              <w:rPr>
                <w:rFonts w:ascii="Arial" w:eastAsia="Calibri" w:hAnsi="Arial" w:cs="Arial"/>
              </w:rPr>
              <w:t xml:space="preserve">Humber NHS Service </w:t>
            </w:r>
            <w:hyperlink r:id="rId8" w:history="1">
              <w:r w:rsidRPr="00870555">
                <w:rPr>
                  <w:rStyle w:val="Hyperlink"/>
                  <w:rFonts w:ascii="Arial" w:eastAsia="Calibri" w:hAnsi="Arial" w:cs="Arial"/>
                </w:rPr>
                <w:t>hnf-tr.childrensphysio@nhs.net</w:t>
              </w:r>
            </w:hyperlink>
          </w:p>
          <w:p w14:paraId="54AB408B" w14:textId="77777777" w:rsidR="00F61973" w:rsidRPr="00870555" w:rsidRDefault="00F61973" w:rsidP="00B122DD">
            <w:pPr>
              <w:rPr>
                <w:rFonts w:ascii="Arial" w:hAnsi="Arial" w:cs="Arial"/>
              </w:rPr>
            </w:pPr>
            <w:r w:rsidRPr="00870555">
              <w:rPr>
                <w:rFonts w:ascii="Arial" w:hAnsi="Arial" w:cs="Arial"/>
              </w:rPr>
              <w:t>Please note: Humber children’s service does not see toe walkers without additional issues.</w:t>
            </w:r>
          </w:p>
          <w:p w14:paraId="48D806C3" w14:textId="77777777" w:rsidR="00F61973" w:rsidRPr="00B00382" w:rsidRDefault="00F61973" w:rsidP="00B122DD">
            <w:pPr>
              <w:rPr>
                <w:rFonts w:ascii="Arial" w:eastAsia="Calibri" w:hAnsi="Arial" w:cs="Arial"/>
                <w:color w:val="0563C1"/>
                <w:u w:val="single"/>
              </w:rPr>
            </w:pPr>
          </w:p>
          <w:p w14:paraId="228840C2" w14:textId="77777777" w:rsidR="00F61973" w:rsidRPr="006F0044" w:rsidRDefault="00F61973" w:rsidP="00B122DD">
            <w:pPr>
              <w:rPr>
                <w:rFonts w:ascii="Calibri" w:hAnsi="Calibri" w:cs="Times New Roman"/>
                <w:color w:val="1F497D"/>
              </w:rPr>
            </w:pPr>
            <w:r>
              <w:rPr>
                <w:rFonts w:ascii="Arial" w:hAnsi="Arial" w:cs="Arial"/>
              </w:rPr>
              <w:t xml:space="preserve">Hull patients over 13 years of age should be referred to MSK Health share. </w:t>
            </w:r>
            <w:proofErr w:type="spellStart"/>
            <w:r w:rsidRPr="0018010F">
              <w:rPr>
                <w:rFonts w:ascii="Arial" w:hAnsi="Arial" w:cs="Arial"/>
                <w:b/>
                <w:bCs/>
                <w:color w:val="000000"/>
              </w:rPr>
              <w:t>Healthshare</w:t>
            </w:r>
            <w:proofErr w:type="spellEnd"/>
            <w:r w:rsidRPr="0018010F">
              <w:rPr>
                <w:rFonts w:ascii="Arial" w:hAnsi="Arial" w:cs="Arial"/>
                <w:b/>
                <w:bCs/>
                <w:color w:val="000000"/>
              </w:rPr>
              <w:t xml:space="preserve"> Hull</w:t>
            </w:r>
            <w:r w:rsidRPr="00B26FE6">
              <w:rPr>
                <w:rFonts w:ascii="Arial" w:hAnsi="Arial" w:cs="Arial"/>
                <w:color w:val="000000"/>
              </w:rPr>
              <w:t xml:space="preserve"> is the MSK Single Point of Access (SPA) service for Hull GP registered patients with muscle and joint pain. Integrated with a Level 2 Advanced MSK Physiotherapist service including efficient one stop shop model working with diagnostic pathways, point of care MSK sonography, landmark and image guided cortisone injections, a digital platform supporting self-care with ability to flex to F2F appointments and exercise interventions in supervised 1-1, group and digital formats.</w:t>
            </w:r>
          </w:p>
          <w:p w14:paraId="602904C0" w14:textId="77777777" w:rsidR="00F61973" w:rsidRPr="00B26FE6" w:rsidRDefault="00F61973" w:rsidP="00B122DD">
            <w:pPr>
              <w:spacing w:line="435" w:lineRule="atLeast"/>
              <w:rPr>
                <w:rFonts w:ascii="Arial" w:hAnsi="Arial" w:cs="Arial"/>
                <w:color w:val="000000"/>
              </w:rPr>
            </w:pPr>
            <w:r w:rsidRPr="00B26FE6">
              <w:rPr>
                <w:rFonts w:ascii="Arial" w:hAnsi="Arial" w:cs="Arial"/>
                <w:b/>
                <w:bCs/>
                <w:color w:val="000000"/>
              </w:rPr>
              <w:lastRenderedPageBreak/>
              <w:t xml:space="preserve">All Orthopaedic referrals (red flags excluded) should be directed through </w:t>
            </w:r>
            <w:proofErr w:type="spellStart"/>
            <w:r w:rsidRPr="00B26FE6">
              <w:rPr>
                <w:rFonts w:ascii="Arial" w:hAnsi="Arial" w:cs="Arial"/>
                <w:b/>
                <w:bCs/>
                <w:color w:val="000000"/>
              </w:rPr>
              <w:t>Healthshare</w:t>
            </w:r>
            <w:proofErr w:type="spellEnd"/>
            <w:r w:rsidRPr="00B26FE6">
              <w:rPr>
                <w:rFonts w:ascii="Arial" w:hAnsi="Arial" w:cs="Arial"/>
                <w:b/>
                <w:bCs/>
                <w:color w:val="000000"/>
              </w:rPr>
              <w:t xml:space="preserve"> Hull to ensure all locally agreed surgical thresholds are fulfilled and conservative care has been exhausted. </w:t>
            </w:r>
          </w:p>
          <w:p w14:paraId="20A83562" w14:textId="77777777" w:rsidR="00F61973" w:rsidRPr="00B2201B" w:rsidRDefault="00F61973" w:rsidP="00B122DD">
            <w:pPr>
              <w:spacing w:before="120"/>
              <w:rPr>
                <w:rFonts w:ascii="Arial" w:hAnsi="Arial" w:cs="Arial"/>
              </w:rPr>
            </w:pPr>
          </w:p>
        </w:tc>
      </w:tr>
    </w:tbl>
    <w:p w14:paraId="664CF821" w14:textId="77777777" w:rsidR="00AD1CA4" w:rsidRDefault="00AD1CA4"/>
    <w:sectPr w:rsidR="00AD1CA4" w:rsidSect="00F619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3896"/>
    <w:multiLevelType w:val="multilevel"/>
    <w:tmpl w:val="245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1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73"/>
    <w:rsid w:val="0033018B"/>
    <w:rsid w:val="00AD1CA4"/>
    <w:rsid w:val="00F06919"/>
    <w:rsid w:val="00F61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2C70"/>
  <w15:chartTrackingRefBased/>
  <w15:docId w15:val="{67231683-4DE9-408E-A0DB-E68D2E8E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61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9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73"/>
    <w:rPr>
      <w:rFonts w:eastAsiaTheme="majorEastAsia" w:cstheme="majorBidi"/>
      <w:color w:val="272727" w:themeColor="text1" w:themeTint="D8"/>
    </w:rPr>
  </w:style>
  <w:style w:type="paragraph" w:styleId="Title">
    <w:name w:val="Title"/>
    <w:basedOn w:val="Normal"/>
    <w:next w:val="Normal"/>
    <w:link w:val="TitleChar"/>
    <w:uiPriority w:val="10"/>
    <w:qFormat/>
    <w:rsid w:val="00F61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73"/>
    <w:pPr>
      <w:spacing w:before="160"/>
      <w:jc w:val="center"/>
    </w:pPr>
    <w:rPr>
      <w:i/>
      <w:iCs/>
      <w:color w:val="404040" w:themeColor="text1" w:themeTint="BF"/>
    </w:rPr>
  </w:style>
  <w:style w:type="character" w:customStyle="1" w:styleId="QuoteChar">
    <w:name w:val="Quote Char"/>
    <w:basedOn w:val="DefaultParagraphFont"/>
    <w:link w:val="Quote"/>
    <w:uiPriority w:val="29"/>
    <w:rsid w:val="00F61973"/>
    <w:rPr>
      <w:i/>
      <w:iCs/>
      <w:color w:val="404040" w:themeColor="text1" w:themeTint="BF"/>
    </w:rPr>
  </w:style>
  <w:style w:type="paragraph" w:styleId="ListParagraph">
    <w:name w:val="List Paragraph"/>
    <w:basedOn w:val="Normal"/>
    <w:uiPriority w:val="34"/>
    <w:qFormat/>
    <w:rsid w:val="00F61973"/>
    <w:pPr>
      <w:ind w:left="720"/>
      <w:contextualSpacing/>
    </w:pPr>
  </w:style>
  <w:style w:type="character" w:styleId="IntenseEmphasis">
    <w:name w:val="Intense Emphasis"/>
    <w:basedOn w:val="DefaultParagraphFont"/>
    <w:uiPriority w:val="21"/>
    <w:qFormat/>
    <w:rsid w:val="00F61973"/>
    <w:rPr>
      <w:i/>
      <w:iCs/>
      <w:color w:val="0F4761" w:themeColor="accent1" w:themeShade="BF"/>
    </w:rPr>
  </w:style>
  <w:style w:type="paragraph" w:styleId="IntenseQuote">
    <w:name w:val="Intense Quote"/>
    <w:basedOn w:val="Normal"/>
    <w:next w:val="Normal"/>
    <w:link w:val="IntenseQuoteChar"/>
    <w:uiPriority w:val="30"/>
    <w:qFormat/>
    <w:rsid w:val="00F61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73"/>
    <w:rPr>
      <w:i/>
      <w:iCs/>
      <w:color w:val="0F4761" w:themeColor="accent1" w:themeShade="BF"/>
    </w:rPr>
  </w:style>
  <w:style w:type="character" w:styleId="IntenseReference">
    <w:name w:val="Intense Reference"/>
    <w:basedOn w:val="DefaultParagraphFont"/>
    <w:uiPriority w:val="32"/>
    <w:qFormat/>
    <w:rsid w:val="00F61973"/>
    <w:rPr>
      <w:b/>
      <w:bCs/>
      <w:smallCaps/>
      <w:color w:val="0F4761" w:themeColor="accent1" w:themeShade="BF"/>
      <w:spacing w:val="5"/>
    </w:rPr>
  </w:style>
  <w:style w:type="character" w:styleId="Hyperlink">
    <w:name w:val="Hyperlink"/>
    <w:basedOn w:val="DefaultParagraphFont"/>
    <w:unhideWhenUsed/>
    <w:rsid w:val="00F61973"/>
    <w:rPr>
      <w:color w:val="0000FF"/>
      <w:u w:val="single"/>
    </w:rPr>
  </w:style>
  <w:style w:type="table" w:styleId="TableGrid">
    <w:name w:val="Table Grid"/>
    <w:basedOn w:val="TableNormal"/>
    <w:uiPriority w:val="59"/>
    <w:rsid w:val="00F619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f-tr.childrensphysio@nhs.net" TargetMode="External"/><Relationship Id="rId3" Type="http://schemas.openxmlformats.org/officeDocument/2006/relationships/settings" Target="settings.xml"/><Relationship Id="rId7" Type="http://schemas.openxmlformats.org/officeDocument/2006/relationships/hyperlink" Target="mailto:hnf-tr.childrensphysi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cpmsk.org.uk" TargetMode="External"/><Relationship Id="rId5" Type="http://schemas.openxmlformats.org/officeDocument/2006/relationships/hyperlink" Target="https://www.nice.org.uk/guidance/cg1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HEPWORTH, Gary (NHS HUMBER AND NORTH YORKSHIRE ICB - 03F)</dc:creator>
  <cp:keywords/>
  <dc:description/>
  <cp:lastModifiedBy>HEPWORTH, Gary (NHS HUMBER AND NORTH YORKSHIRE ICB - 03F)</cp:lastModifiedBy>
  <cp:revision>1</cp:revision>
  <dcterms:created xsi:type="dcterms:W3CDTF">2025-07-07T08:32:00Z</dcterms:created>
  <dcterms:modified xsi:type="dcterms:W3CDTF">2025-07-07T08:34:00Z</dcterms:modified>
</cp:coreProperties>
</file>